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33BDAE" w14:textId="53E32DFD" w:rsidR="00226A26" w:rsidRPr="009F4E4E" w:rsidRDefault="00622BD6" w:rsidP="00A62EA0">
      <w:pPr>
        <w:jc w:val="center"/>
        <w:rPr>
          <w:rFonts w:asciiTheme="majorHAnsi" w:hAnsiTheme="majorHAnsi"/>
          <w:b/>
          <w:sz w:val="28"/>
          <w:szCs w:val="28"/>
        </w:rPr>
      </w:pPr>
      <w:r w:rsidRPr="009F4E4E">
        <w:rPr>
          <w:rFonts w:asciiTheme="majorHAnsi" w:hAnsiTheme="maj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4E20C" wp14:editId="19DF8879">
                <wp:simplePos x="0" y="0"/>
                <wp:positionH relativeFrom="column">
                  <wp:posOffset>4794155</wp:posOffset>
                </wp:positionH>
                <wp:positionV relativeFrom="paragraph">
                  <wp:posOffset>-186055</wp:posOffset>
                </wp:positionV>
                <wp:extent cx="1143000" cy="685800"/>
                <wp:effectExtent l="50800" t="25400" r="76200" b="1016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A59D2C" w14:textId="77777777" w:rsidR="001D4F72" w:rsidRDefault="001D4F72" w:rsidP="00226A26">
                            <w:pPr>
                              <w:jc w:val="center"/>
                            </w:pPr>
                            <w:bookmarkStart w:id="0" w:name="_GoBack"/>
                            <w:r>
                              <w:t>Add Your</w:t>
                            </w:r>
                          </w:p>
                          <w:p w14:paraId="278B8B3C" w14:textId="77777777" w:rsidR="001D4F72" w:rsidRDefault="001D4F72" w:rsidP="00226A26">
                            <w:pPr>
                              <w:jc w:val="center"/>
                            </w:pPr>
                            <w:r>
                              <w:t xml:space="preserve"> Logo Here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84E20C" id="Rectangle 2" o:spid="_x0000_s1026" style="position:absolute;left:0;text-align:left;margin-left:377.5pt;margin-top:-14.65pt;width:90pt;height:5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77A59D2C" w14:textId="77777777" w:rsidR="001D4F72" w:rsidRDefault="001D4F72" w:rsidP="00226A26">
                      <w:pPr>
                        <w:jc w:val="center"/>
                      </w:pPr>
                      <w:r>
                        <w:t>Add Your</w:t>
                      </w:r>
                    </w:p>
                    <w:p w14:paraId="278B8B3C" w14:textId="77777777" w:rsidR="001D4F72" w:rsidRDefault="001D4F72" w:rsidP="00226A26">
                      <w:pPr>
                        <w:jc w:val="center"/>
                      </w:pPr>
                      <w:r>
                        <w:t xml:space="preserve"> Logo Here</w:t>
                      </w:r>
                    </w:p>
                  </w:txbxContent>
                </v:textbox>
              </v:rect>
            </w:pict>
          </mc:Fallback>
        </mc:AlternateContent>
      </w:r>
      <w:r w:rsidR="00226A26" w:rsidRPr="009F4E4E">
        <w:rPr>
          <w:rFonts w:ascii="Times" w:hAnsi="Times"/>
          <w:b/>
          <w:sz w:val="28"/>
          <w:szCs w:val="28"/>
        </w:rPr>
        <w:t>Lynch Syndrome</w:t>
      </w:r>
    </w:p>
    <w:p w14:paraId="5E5E4FD8" w14:textId="049AA786" w:rsidR="00226A26" w:rsidRPr="009F4E4E" w:rsidRDefault="00226A26" w:rsidP="003D4640">
      <w:pPr>
        <w:jc w:val="center"/>
        <w:rPr>
          <w:rFonts w:ascii="Times" w:hAnsi="Times"/>
          <w:b/>
          <w:i/>
          <w:sz w:val="28"/>
          <w:szCs w:val="28"/>
        </w:rPr>
      </w:pPr>
      <w:r w:rsidRPr="009F4E4E">
        <w:rPr>
          <w:rFonts w:ascii="Times" w:hAnsi="Times"/>
          <w:b/>
          <w:i/>
          <w:sz w:val="28"/>
          <w:szCs w:val="28"/>
        </w:rPr>
        <w:t>Fact Sheet for Healthcare Professionals</w:t>
      </w:r>
    </w:p>
    <w:p w14:paraId="6329F173" w14:textId="77777777" w:rsidR="00226A26" w:rsidRPr="00F60490" w:rsidRDefault="00226A26">
      <w:pPr>
        <w:rPr>
          <w:rFonts w:ascii="Times" w:hAnsi="Times"/>
          <w:b/>
        </w:rPr>
      </w:pPr>
    </w:p>
    <w:p w14:paraId="6EDFD0B5" w14:textId="080C5EA8" w:rsidR="003B6580" w:rsidRPr="00396F7B" w:rsidRDefault="00385E81" w:rsidP="00F62222">
      <w:pPr>
        <w:shd w:val="clear" w:color="auto" w:fill="F2F2F2" w:themeFill="background1" w:themeFillShade="F2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Patients with Lynch syndrome are at increased risk of developing colorectal cancer, endometrial </w:t>
      </w:r>
      <w:r w:rsidR="000D4373">
        <w:rPr>
          <w:rFonts w:ascii="Times" w:hAnsi="Times"/>
          <w:sz w:val="22"/>
          <w:szCs w:val="22"/>
        </w:rPr>
        <w:t xml:space="preserve">(uterine) </w:t>
      </w:r>
      <w:r>
        <w:rPr>
          <w:rFonts w:ascii="Times" w:hAnsi="Times"/>
          <w:sz w:val="22"/>
          <w:szCs w:val="22"/>
        </w:rPr>
        <w:t>cancer, ova</w:t>
      </w:r>
      <w:r w:rsidR="00F3637C">
        <w:rPr>
          <w:rFonts w:ascii="Times" w:hAnsi="Times"/>
          <w:sz w:val="22"/>
          <w:szCs w:val="22"/>
        </w:rPr>
        <w:t xml:space="preserve">rian cancer, and other cancers. </w:t>
      </w:r>
      <w:r w:rsidR="007B55DD">
        <w:rPr>
          <w:rFonts w:ascii="Times" w:hAnsi="Times"/>
          <w:sz w:val="22"/>
          <w:szCs w:val="22"/>
        </w:rPr>
        <w:t>Lynch syndrome</w:t>
      </w:r>
      <w:r w:rsidR="00F3637C" w:rsidRPr="000A308D">
        <w:rPr>
          <w:rFonts w:ascii="Times" w:hAnsi="Times"/>
          <w:sz w:val="22"/>
          <w:szCs w:val="22"/>
        </w:rPr>
        <w:t xml:space="preserve"> is caused by mutations in </w:t>
      </w:r>
      <w:r w:rsidR="007B55DD">
        <w:rPr>
          <w:rFonts w:ascii="Times" w:hAnsi="Times"/>
          <w:sz w:val="22"/>
          <w:szCs w:val="22"/>
        </w:rPr>
        <w:t>the mismatch repair genes,</w:t>
      </w:r>
      <w:r w:rsidR="00F3637C" w:rsidRPr="000A308D">
        <w:rPr>
          <w:rFonts w:ascii="Times" w:hAnsi="Times"/>
          <w:sz w:val="22"/>
          <w:szCs w:val="22"/>
        </w:rPr>
        <w:t xml:space="preserve"> </w:t>
      </w:r>
      <w:r w:rsidR="007B55DD">
        <w:rPr>
          <w:rFonts w:ascii="Times" w:hAnsi="Times"/>
          <w:i/>
          <w:sz w:val="22"/>
          <w:szCs w:val="22"/>
        </w:rPr>
        <w:t>MLH1, MSH2, MSH6,</w:t>
      </w:r>
      <w:r w:rsidR="007B55DD">
        <w:rPr>
          <w:rFonts w:ascii="Times" w:hAnsi="Times"/>
          <w:sz w:val="22"/>
          <w:szCs w:val="22"/>
        </w:rPr>
        <w:t xml:space="preserve"> and </w:t>
      </w:r>
      <w:r w:rsidR="00F3637C" w:rsidRPr="000A308D">
        <w:rPr>
          <w:rFonts w:ascii="Times" w:hAnsi="Times"/>
          <w:i/>
          <w:sz w:val="22"/>
          <w:szCs w:val="22"/>
        </w:rPr>
        <w:t>PMS2</w:t>
      </w:r>
      <w:r w:rsidR="00DE7F29">
        <w:rPr>
          <w:rFonts w:ascii="Times" w:hAnsi="Times"/>
          <w:sz w:val="22"/>
          <w:szCs w:val="22"/>
        </w:rPr>
        <w:t>,</w:t>
      </w:r>
      <w:r w:rsidR="00F3637C" w:rsidRPr="000A308D">
        <w:rPr>
          <w:rFonts w:ascii="Times" w:hAnsi="Times"/>
          <w:sz w:val="22"/>
          <w:szCs w:val="22"/>
        </w:rPr>
        <w:t xml:space="preserve"> and</w:t>
      </w:r>
      <w:r w:rsidR="007B55DD">
        <w:rPr>
          <w:rFonts w:ascii="Times" w:hAnsi="Times"/>
          <w:sz w:val="22"/>
          <w:szCs w:val="22"/>
        </w:rPr>
        <w:t xml:space="preserve"> the</w:t>
      </w:r>
      <w:r w:rsidR="00F3637C" w:rsidRPr="000A308D">
        <w:rPr>
          <w:rFonts w:ascii="Times" w:hAnsi="Times"/>
          <w:sz w:val="22"/>
          <w:szCs w:val="22"/>
        </w:rPr>
        <w:t xml:space="preserve"> </w:t>
      </w:r>
      <w:r w:rsidR="00F3637C" w:rsidRPr="000A308D">
        <w:rPr>
          <w:rFonts w:ascii="Times" w:hAnsi="Times"/>
          <w:i/>
          <w:sz w:val="22"/>
          <w:szCs w:val="22"/>
        </w:rPr>
        <w:t>EPCAM</w:t>
      </w:r>
      <w:r w:rsidR="007B55DD">
        <w:rPr>
          <w:rFonts w:ascii="Times" w:hAnsi="Times"/>
          <w:i/>
          <w:sz w:val="22"/>
          <w:szCs w:val="22"/>
        </w:rPr>
        <w:t xml:space="preserve"> </w:t>
      </w:r>
      <w:r w:rsidR="007B55DD">
        <w:rPr>
          <w:rFonts w:ascii="Times" w:hAnsi="Times"/>
          <w:sz w:val="22"/>
          <w:szCs w:val="22"/>
        </w:rPr>
        <w:t>gene</w:t>
      </w:r>
      <w:r w:rsidR="00F3637C" w:rsidRPr="000A308D">
        <w:rPr>
          <w:rFonts w:ascii="Times" w:hAnsi="Times"/>
          <w:sz w:val="22"/>
          <w:szCs w:val="22"/>
        </w:rPr>
        <w:t>.</w:t>
      </w:r>
      <w:r w:rsidR="007B55DD">
        <w:rPr>
          <w:rFonts w:ascii="Times" w:hAnsi="Times"/>
          <w:sz w:val="22"/>
          <w:szCs w:val="22"/>
        </w:rPr>
        <w:t xml:space="preserve"> About 3% of patients with colorectal cancer have Lynch syndrome.</w:t>
      </w:r>
      <w:r w:rsidR="00F3637C" w:rsidRPr="000A308D">
        <w:rPr>
          <w:rFonts w:ascii="Times" w:hAnsi="Times"/>
          <w:sz w:val="22"/>
          <w:szCs w:val="22"/>
        </w:rPr>
        <w:t xml:space="preserve"> </w:t>
      </w:r>
      <w:r w:rsidR="007B55DD">
        <w:rPr>
          <w:rFonts w:ascii="Times" w:hAnsi="Times"/>
          <w:sz w:val="22"/>
          <w:szCs w:val="22"/>
        </w:rPr>
        <w:t xml:space="preserve">Identification of patients and their relatives with Lynch syndrome is important to allow them to take advantage of interventions that </w:t>
      </w:r>
      <w:r w:rsidR="007B55DD" w:rsidRPr="0040073B">
        <w:rPr>
          <w:rFonts w:ascii="Times" w:hAnsi="Times"/>
          <w:sz w:val="22"/>
          <w:szCs w:val="22"/>
        </w:rPr>
        <w:t xml:space="preserve">can significantly reduce </w:t>
      </w:r>
      <w:r w:rsidR="007B55DD">
        <w:rPr>
          <w:rFonts w:ascii="Times" w:hAnsi="Times"/>
          <w:sz w:val="22"/>
          <w:szCs w:val="22"/>
        </w:rPr>
        <w:t>their ris</w:t>
      </w:r>
      <w:r w:rsidR="00F62222">
        <w:rPr>
          <w:rFonts w:ascii="Times" w:hAnsi="Times"/>
          <w:sz w:val="22"/>
          <w:szCs w:val="22"/>
        </w:rPr>
        <w:t>k of cancer in the future and</w:t>
      </w:r>
      <w:r w:rsidR="007B55DD">
        <w:rPr>
          <w:rFonts w:ascii="Times" w:hAnsi="Times"/>
          <w:sz w:val="22"/>
          <w:szCs w:val="22"/>
        </w:rPr>
        <w:t xml:space="preserve"> allow for early detection of cancer if it develops. </w:t>
      </w:r>
    </w:p>
    <w:p w14:paraId="7E65D10B" w14:textId="77777777" w:rsidR="003B6580" w:rsidRPr="00A62EA0" w:rsidRDefault="003B6580" w:rsidP="003B6580">
      <w:pPr>
        <w:ind w:left="720"/>
        <w:rPr>
          <w:rFonts w:ascii="Times" w:hAnsi="Times"/>
          <w:b/>
          <w:sz w:val="10"/>
          <w:szCs w:val="10"/>
        </w:rPr>
      </w:pPr>
    </w:p>
    <w:p w14:paraId="793256C0" w14:textId="5396281A" w:rsidR="003B6580" w:rsidRDefault="00F60490" w:rsidP="00B551DA">
      <w:pPr>
        <w:ind w:left="86"/>
        <w:rPr>
          <w:rFonts w:ascii="Times" w:hAnsi="Times"/>
          <w:b/>
          <w:sz w:val="22"/>
          <w:szCs w:val="22"/>
        </w:rPr>
      </w:pPr>
      <w:r w:rsidRPr="003B6580">
        <w:rPr>
          <w:rFonts w:ascii="Times" w:hAnsi="Times"/>
          <w:b/>
          <w:sz w:val="22"/>
          <w:szCs w:val="22"/>
        </w:rPr>
        <w:t>Cancer Risks Associated with Lynch Syndrome</w:t>
      </w:r>
      <w:r w:rsidR="00A62EA0">
        <w:rPr>
          <w:rFonts w:ascii="Times" w:hAnsi="Times"/>
          <w:b/>
          <w:sz w:val="22"/>
          <w:szCs w:val="22"/>
        </w:rPr>
        <w:t>:</w:t>
      </w:r>
      <w:r w:rsidRPr="003B6580">
        <w:rPr>
          <w:rFonts w:ascii="Times" w:hAnsi="Times"/>
          <w:b/>
          <w:sz w:val="22"/>
          <w:szCs w:val="22"/>
        </w:rPr>
        <w:t xml:space="preserve"> </w:t>
      </w:r>
    </w:p>
    <w:p w14:paraId="559B0074" w14:textId="77777777" w:rsidR="00B551DA" w:rsidRPr="00B551DA" w:rsidRDefault="00B551DA" w:rsidP="00B551DA">
      <w:pPr>
        <w:ind w:left="86"/>
        <w:rPr>
          <w:rFonts w:ascii="Times" w:hAnsi="Times"/>
          <w:sz w:val="6"/>
          <w:szCs w:val="6"/>
        </w:rPr>
      </w:pPr>
    </w:p>
    <w:p w14:paraId="1AA68047" w14:textId="00F19C53" w:rsidR="003B6580" w:rsidRPr="003B6580" w:rsidRDefault="00374F76" w:rsidP="003B6580">
      <w:pPr>
        <w:pStyle w:val="ListParagraph"/>
        <w:numPr>
          <w:ilvl w:val="0"/>
          <w:numId w:val="1"/>
        </w:num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25-</w:t>
      </w:r>
      <w:r w:rsidR="00385E81">
        <w:rPr>
          <w:rFonts w:ascii="Times" w:hAnsi="Times"/>
          <w:sz w:val="22"/>
          <w:szCs w:val="22"/>
        </w:rPr>
        <w:t xml:space="preserve"> 82% </w:t>
      </w:r>
      <w:r w:rsidR="00F60490" w:rsidRPr="003B6580">
        <w:rPr>
          <w:rFonts w:ascii="Times" w:hAnsi="Times"/>
          <w:sz w:val="22"/>
          <w:szCs w:val="22"/>
        </w:rPr>
        <w:t>risk of colorect</w:t>
      </w:r>
      <w:r w:rsidR="00385E81">
        <w:rPr>
          <w:rFonts w:ascii="Times" w:hAnsi="Times"/>
          <w:sz w:val="22"/>
          <w:szCs w:val="22"/>
        </w:rPr>
        <w:t>al cancer by age 70</w:t>
      </w:r>
      <w:r w:rsidR="00CC5D60" w:rsidRPr="00CC5D60">
        <w:rPr>
          <w:rFonts w:ascii="Times" w:hAnsi="Times"/>
          <w:sz w:val="22"/>
          <w:szCs w:val="22"/>
          <w:vertAlign w:val="superscript"/>
        </w:rPr>
        <w:t>1</w:t>
      </w:r>
      <w:r w:rsidR="00CC5D60">
        <w:rPr>
          <w:rFonts w:ascii="Times" w:hAnsi="Times"/>
          <w:sz w:val="22"/>
          <w:szCs w:val="22"/>
        </w:rPr>
        <w:tab/>
      </w:r>
      <w:r w:rsidR="00CC5D60">
        <w:rPr>
          <w:rFonts w:ascii="Times" w:hAnsi="Times"/>
          <w:sz w:val="22"/>
          <w:szCs w:val="22"/>
        </w:rPr>
        <w:tab/>
      </w:r>
    </w:p>
    <w:p w14:paraId="7AA5C981" w14:textId="330CD1F3" w:rsidR="003B6580" w:rsidRPr="003B6580" w:rsidRDefault="00F60490" w:rsidP="003B6580">
      <w:pPr>
        <w:pStyle w:val="ListParagraph"/>
        <w:numPr>
          <w:ilvl w:val="0"/>
          <w:numId w:val="1"/>
        </w:numPr>
        <w:rPr>
          <w:rFonts w:ascii="Times" w:hAnsi="Times"/>
          <w:sz w:val="22"/>
          <w:szCs w:val="22"/>
        </w:rPr>
      </w:pPr>
      <w:r w:rsidRPr="003B6580">
        <w:rPr>
          <w:rFonts w:ascii="Times" w:hAnsi="Times"/>
          <w:sz w:val="22"/>
          <w:szCs w:val="22"/>
        </w:rPr>
        <w:t>20-60% risk of endometrial cancer</w:t>
      </w:r>
      <w:r w:rsidR="00CC5D60" w:rsidRPr="00CC5D60">
        <w:rPr>
          <w:rFonts w:ascii="Times" w:hAnsi="Times"/>
          <w:sz w:val="22"/>
          <w:szCs w:val="22"/>
        </w:rPr>
        <w:t xml:space="preserve"> </w:t>
      </w:r>
      <w:r w:rsidR="00CC5D60">
        <w:rPr>
          <w:rFonts w:ascii="Times" w:hAnsi="Times"/>
          <w:sz w:val="22"/>
          <w:szCs w:val="22"/>
        </w:rPr>
        <w:t>by age 70</w:t>
      </w:r>
      <w:r w:rsidRPr="003B6580">
        <w:rPr>
          <w:rFonts w:ascii="Times" w:hAnsi="Times"/>
          <w:sz w:val="22"/>
          <w:szCs w:val="22"/>
          <w:vertAlign w:val="superscript"/>
        </w:rPr>
        <w:t>2</w:t>
      </w:r>
    </w:p>
    <w:p w14:paraId="48B834AC" w14:textId="44558CA1" w:rsidR="003B6580" w:rsidRPr="003B6580" w:rsidRDefault="00F60490" w:rsidP="003B6580">
      <w:pPr>
        <w:pStyle w:val="ListParagraph"/>
        <w:numPr>
          <w:ilvl w:val="0"/>
          <w:numId w:val="1"/>
        </w:numPr>
        <w:rPr>
          <w:rFonts w:ascii="Times" w:hAnsi="Times"/>
          <w:sz w:val="22"/>
          <w:szCs w:val="22"/>
        </w:rPr>
      </w:pPr>
      <w:r w:rsidRPr="003B6580">
        <w:rPr>
          <w:rFonts w:ascii="Times" w:hAnsi="Times"/>
          <w:sz w:val="22"/>
          <w:szCs w:val="22"/>
        </w:rPr>
        <w:t>11-19% risk of stomach cancer</w:t>
      </w:r>
      <w:r w:rsidR="00CC5D60" w:rsidRPr="00CC5D60">
        <w:rPr>
          <w:rFonts w:ascii="Times" w:hAnsi="Times"/>
          <w:sz w:val="22"/>
          <w:szCs w:val="22"/>
        </w:rPr>
        <w:t xml:space="preserve"> </w:t>
      </w:r>
      <w:r w:rsidR="00CC5D60">
        <w:rPr>
          <w:rFonts w:ascii="Times" w:hAnsi="Times"/>
          <w:sz w:val="22"/>
          <w:szCs w:val="22"/>
        </w:rPr>
        <w:t>by age 70</w:t>
      </w:r>
      <w:r w:rsidRPr="003B6580">
        <w:rPr>
          <w:rFonts w:ascii="Times" w:hAnsi="Times"/>
          <w:sz w:val="22"/>
          <w:szCs w:val="22"/>
          <w:vertAlign w:val="superscript"/>
        </w:rPr>
        <w:t>2</w:t>
      </w:r>
    </w:p>
    <w:p w14:paraId="4988C82D" w14:textId="59A1531F" w:rsidR="003B6580" w:rsidRPr="003B6580" w:rsidRDefault="00C451A5" w:rsidP="003B6580">
      <w:pPr>
        <w:pStyle w:val="ListParagraph"/>
        <w:numPr>
          <w:ilvl w:val="0"/>
          <w:numId w:val="1"/>
        </w:num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9-12% risk of ovarian</w:t>
      </w:r>
      <w:r w:rsidR="00F60490" w:rsidRPr="003B6580">
        <w:rPr>
          <w:rFonts w:ascii="Times" w:hAnsi="Times"/>
          <w:sz w:val="22"/>
          <w:szCs w:val="22"/>
        </w:rPr>
        <w:t xml:space="preserve"> cancer </w:t>
      </w:r>
      <w:r w:rsidR="00CC5D60">
        <w:rPr>
          <w:rFonts w:ascii="Times" w:hAnsi="Times"/>
          <w:sz w:val="22"/>
          <w:szCs w:val="22"/>
        </w:rPr>
        <w:t>by age 70</w:t>
      </w:r>
      <w:r w:rsidR="00F60490" w:rsidRPr="003B6580">
        <w:rPr>
          <w:rFonts w:ascii="Times" w:hAnsi="Times"/>
          <w:sz w:val="22"/>
          <w:szCs w:val="22"/>
          <w:vertAlign w:val="superscript"/>
        </w:rPr>
        <w:t>2</w:t>
      </w:r>
    </w:p>
    <w:p w14:paraId="500FC023" w14:textId="76081F75" w:rsidR="003B6580" w:rsidRPr="003B6580" w:rsidRDefault="00906B74" w:rsidP="003B6580">
      <w:pPr>
        <w:pStyle w:val="ListParagraph"/>
        <w:numPr>
          <w:ilvl w:val="0"/>
          <w:numId w:val="1"/>
        </w:numPr>
        <w:rPr>
          <w:rFonts w:ascii="Times" w:hAnsi="Times"/>
          <w:sz w:val="22"/>
          <w:szCs w:val="22"/>
        </w:rPr>
      </w:pPr>
      <w:r w:rsidRPr="003B6580">
        <w:rPr>
          <w:rFonts w:ascii="Times" w:hAnsi="Times"/>
          <w:sz w:val="22"/>
          <w:szCs w:val="22"/>
        </w:rPr>
        <w:t>2-7% risk of cancers of the hepatobiliary tract</w:t>
      </w:r>
      <w:r w:rsidR="00CC5D60" w:rsidRPr="00CC5D60">
        <w:rPr>
          <w:rFonts w:ascii="Times" w:hAnsi="Times"/>
          <w:sz w:val="22"/>
          <w:szCs w:val="22"/>
        </w:rPr>
        <w:t xml:space="preserve"> </w:t>
      </w:r>
      <w:r w:rsidR="00CC5D60">
        <w:rPr>
          <w:rFonts w:ascii="Times" w:hAnsi="Times"/>
          <w:sz w:val="22"/>
          <w:szCs w:val="22"/>
        </w:rPr>
        <w:t>by age 70</w:t>
      </w:r>
      <w:r w:rsidRPr="003B6580">
        <w:rPr>
          <w:rFonts w:ascii="Times" w:hAnsi="Times"/>
          <w:sz w:val="22"/>
          <w:szCs w:val="22"/>
          <w:vertAlign w:val="superscript"/>
        </w:rPr>
        <w:t>2</w:t>
      </w:r>
    </w:p>
    <w:p w14:paraId="490B9924" w14:textId="4AE64296" w:rsidR="00906B74" w:rsidRPr="00385E81" w:rsidRDefault="00906B74" w:rsidP="003B6580">
      <w:pPr>
        <w:pStyle w:val="ListParagraph"/>
        <w:numPr>
          <w:ilvl w:val="0"/>
          <w:numId w:val="1"/>
        </w:numPr>
        <w:rPr>
          <w:rFonts w:ascii="Times" w:hAnsi="Times"/>
          <w:sz w:val="22"/>
          <w:szCs w:val="22"/>
        </w:rPr>
      </w:pPr>
      <w:r w:rsidRPr="003B6580">
        <w:rPr>
          <w:rFonts w:ascii="Times" w:hAnsi="Times"/>
          <w:sz w:val="22"/>
          <w:szCs w:val="22"/>
        </w:rPr>
        <w:t>4-5% risk of cancers of the urinary tract</w:t>
      </w:r>
      <w:r w:rsidR="00CC5D60" w:rsidRPr="00CC5D60">
        <w:rPr>
          <w:rFonts w:ascii="Times" w:hAnsi="Times"/>
          <w:sz w:val="22"/>
          <w:szCs w:val="22"/>
        </w:rPr>
        <w:t xml:space="preserve"> </w:t>
      </w:r>
      <w:r w:rsidR="00CC5D60">
        <w:rPr>
          <w:rFonts w:ascii="Times" w:hAnsi="Times"/>
          <w:sz w:val="22"/>
          <w:szCs w:val="22"/>
        </w:rPr>
        <w:t>by age 70</w:t>
      </w:r>
      <w:r w:rsidRPr="003B6580">
        <w:rPr>
          <w:rFonts w:ascii="Times" w:hAnsi="Times"/>
          <w:sz w:val="22"/>
          <w:szCs w:val="22"/>
          <w:vertAlign w:val="superscript"/>
        </w:rPr>
        <w:t>2</w:t>
      </w:r>
    </w:p>
    <w:p w14:paraId="75EB0A78" w14:textId="2446045E" w:rsidR="00CC5D60" w:rsidRDefault="00385E81" w:rsidP="00F62222">
      <w:pPr>
        <w:pStyle w:val="ListParagraph"/>
        <w:numPr>
          <w:ilvl w:val="0"/>
          <w:numId w:val="1"/>
        </w:numPr>
        <w:rPr>
          <w:rFonts w:ascii="Times" w:hAnsi="Times"/>
          <w:sz w:val="22"/>
          <w:szCs w:val="22"/>
        </w:rPr>
      </w:pPr>
      <w:r w:rsidRPr="000A308D">
        <w:rPr>
          <w:rFonts w:ascii="Times" w:hAnsi="Times"/>
          <w:sz w:val="22"/>
          <w:szCs w:val="22"/>
        </w:rPr>
        <w:t xml:space="preserve">Increased risks for cancers of </w:t>
      </w:r>
      <w:r>
        <w:rPr>
          <w:rFonts w:ascii="Times" w:hAnsi="Times"/>
          <w:sz w:val="22"/>
          <w:szCs w:val="22"/>
        </w:rPr>
        <w:t>small bowel</w:t>
      </w:r>
      <w:r w:rsidRPr="000A308D">
        <w:rPr>
          <w:rFonts w:ascii="Times" w:hAnsi="Times"/>
          <w:sz w:val="22"/>
          <w:szCs w:val="22"/>
        </w:rPr>
        <w:t>, brain, and skin</w:t>
      </w:r>
    </w:p>
    <w:p w14:paraId="2D224259" w14:textId="77777777" w:rsidR="00F62222" w:rsidRPr="00B551DA" w:rsidRDefault="00F62222" w:rsidP="00F62222">
      <w:pPr>
        <w:pStyle w:val="ListParagraph"/>
        <w:rPr>
          <w:rFonts w:ascii="Times" w:hAnsi="Times"/>
          <w:sz w:val="10"/>
          <w:szCs w:val="10"/>
        </w:rPr>
      </w:pPr>
    </w:p>
    <w:p w14:paraId="67822C33" w14:textId="3B72F2A8" w:rsidR="00F60490" w:rsidRDefault="00FC7E30" w:rsidP="00B551DA">
      <w:pPr>
        <w:rPr>
          <w:rFonts w:ascii="Times" w:hAnsi="Times"/>
          <w:b/>
          <w:sz w:val="22"/>
          <w:szCs w:val="22"/>
        </w:rPr>
      </w:pPr>
      <w:r>
        <w:rPr>
          <w:rFonts w:ascii="Times" w:hAnsi="Times"/>
          <w:b/>
          <w:sz w:val="22"/>
          <w:szCs w:val="22"/>
        </w:rPr>
        <w:t>Evidence-</w:t>
      </w:r>
      <w:r w:rsidR="00F60490" w:rsidRPr="00F60490">
        <w:rPr>
          <w:rFonts w:ascii="Times" w:hAnsi="Times"/>
          <w:b/>
          <w:sz w:val="22"/>
          <w:szCs w:val="22"/>
        </w:rPr>
        <w:t xml:space="preserve">Based Clinical </w:t>
      </w:r>
      <w:r w:rsidR="008D61A6">
        <w:rPr>
          <w:rFonts w:ascii="Times" w:hAnsi="Times"/>
          <w:b/>
          <w:sz w:val="22"/>
          <w:szCs w:val="22"/>
        </w:rPr>
        <w:t>Recommendation</w:t>
      </w:r>
      <w:r w:rsidR="00ED3E8F">
        <w:rPr>
          <w:rFonts w:ascii="Times" w:hAnsi="Times"/>
          <w:b/>
          <w:sz w:val="22"/>
          <w:szCs w:val="22"/>
        </w:rPr>
        <w:t xml:space="preserve"> for Identifying Patients a</w:t>
      </w:r>
      <w:r w:rsidR="00F60490" w:rsidRPr="00F60490">
        <w:rPr>
          <w:rFonts w:ascii="Times" w:hAnsi="Times"/>
          <w:b/>
          <w:sz w:val="22"/>
          <w:szCs w:val="22"/>
        </w:rPr>
        <w:t>t Risk</w:t>
      </w:r>
    </w:p>
    <w:p w14:paraId="06C93880" w14:textId="77777777" w:rsidR="00B551DA" w:rsidRPr="00B551DA" w:rsidRDefault="00B551DA" w:rsidP="00B551DA">
      <w:pPr>
        <w:rPr>
          <w:rFonts w:ascii="Times" w:hAnsi="Times"/>
          <w:b/>
          <w:sz w:val="6"/>
          <w:szCs w:val="6"/>
        </w:rPr>
      </w:pPr>
    </w:p>
    <w:p w14:paraId="3360D23F" w14:textId="0EC4697D" w:rsidR="00F60490" w:rsidRPr="00FC7E30" w:rsidRDefault="00F60490" w:rsidP="00F62222">
      <w:pPr>
        <w:rPr>
          <w:rFonts w:ascii="Times" w:hAnsi="Times"/>
          <w:i/>
          <w:sz w:val="22"/>
          <w:szCs w:val="22"/>
          <w:vertAlign w:val="superscript"/>
        </w:rPr>
      </w:pPr>
      <w:r w:rsidRPr="008D61A6">
        <w:rPr>
          <w:rFonts w:ascii="Times" w:hAnsi="Times"/>
          <w:i/>
          <w:sz w:val="22"/>
          <w:szCs w:val="22"/>
        </w:rPr>
        <w:t>The Evaluation of Genomic Applications in Practice and Prevention (EGAPP) Recommendation (2009)</w:t>
      </w:r>
      <w:r w:rsidR="000A5F2C" w:rsidRPr="00B21237">
        <w:rPr>
          <w:rFonts w:ascii="Times" w:hAnsi="Times"/>
          <w:i/>
          <w:sz w:val="22"/>
          <w:szCs w:val="22"/>
          <w:vertAlign w:val="superscript"/>
        </w:rPr>
        <w:t>1</w:t>
      </w:r>
    </w:p>
    <w:p w14:paraId="00A0B8CC" w14:textId="77777777" w:rsidR="00F62222" w:rsidRPr="00B551DA" w:rsidRDefault="00F62222" w:rsidP="00F60490">
      <w:pPr>
        <w:rPr>
          <w:rFonts w:ascii="Times" w:hAnsi="Times"/>
          <w:sz w:val="6"/>
          <w:szCs w:val="6"/>
        </w:rPr>
      </w:pPr>
    </w:p>
    <w:p w14:paraId="7AB128B5" w14:textId="74B4D162" w:rsidR="00FD3C22" w:rsidRDefault="00F60490" w:rsidP="00F60490">
      <w:pPr>
        <w:rPr>
          <w:rFonts w:ascii="Times" w:hAnsi="Times"/>
          <w:sz w:val="22"/>
          <w:szCs w:val="22"/>
        </w:rPr>
      </w:pPr>
      <w:r w:rsidRPr="00F60490">
        <w:rPr>
          <w:rFonts w:ascii="Times" w:hAnsi="Times"/>
          <w:sz w:val="22"/>
          <w:szCs w:val="22"/>
        </w:rPr>
        <w:t xml:space="preserve">The EGAPP Working Group found sufficient evidence to recommend offering </w:t>
      </w:r>
      <w:r w:rsidR="005109C7">
        <w:rPr>
          <w:rFonts w:ascii="Times" w:hAnsi="Times"/>
          <w:sz w:val="22"/>
          <w:szCs w:val="22"/>
        </w:rPr>
        <w:t xml:space="preserve">tumor </w:t>
      </w:r>
      <w:r w:rsidRPr="00F60490">
        <w:rPr>
          <w:rFonts w:ascii="Times" w:hAnsi="Times"/>
          <w:sz w:val="22"/>
          <w:szCs w:val="22"/>
        </w:rPr>
        <w:t xml:space="preserve">screening and genetic testing for Lynch syndrome to individuals with newly diagnosed colorectal cancer </w:t>
      </w:r>
      <w:r w:rsidRPr="00FC7E30">
        <w:rPr>
          <w:rFonts w:ascii="Times" w:hAnsi="Times"/>
          <w:sz w:val="22"/>
          <w:szCs w:val="22"/>
        </w:rPr>
        <w:t>to reduce morbidity and mortality in relatives.</w:t>
      </w:r>
      <w:r w:rsidR="005109C7" w:rsidRPr="005109C7">
        <w:rPr>
          <w:rFonts w:ascii="Times" w:hAnsi="Times"/>
          <w:sz w:val="22"/>
          <w:szCs w:val="22"/>
        </w:rPr>
        <w:t xml:space="preserve"> </w:t>
      </w:r>
    </w:p>
    <w:p w14:paraId="662FE60A" w14:textId="77777777" w:rsidR="00FD3C22" w:rsidRPr="00B551DA" w:rsidRDefault="00FD3C22" w:rsidP="00F60490">
      <w:pPr>
        <w:rPr>
          <w:rFonts w:ascii="Times" w:hAnsi="Times"/>
          <w:sz w:val="6"/>
          <w:szCs w:val="6"/>
        </w:rPr>
      </w:pPr>
    </w:p>
    <w:p w14:paraId="051E2139" w14:textId="57D19D8D" w:rsidR="00FD3C22" w:rsidRDefault="00FD3C22" w:rsidP="00F60490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Screening for Lynch syndrome</w:t>
      </w:r>
      <w:r w:rsidR="005109C7" w:rsidRPr="000A308D">
        <w:rPr>
          <w:rFonts w:ascii="Times" w:hAnsi="Times"/>
          <w:sz w:val="22"/>
          <w:szCs w:val="22"/>
        </w:rPr>
        <w:t xml:space="preserve"> is done on the colorectal cancer tissue after surgery</w:t>
      </w:r>
      <w:r w:rsidR="005109C7">
        <w:rPr>
          <w:rFonts w:ascii="Times" w:hAnsi="Times"/>
          <w:sz w:val="22"/>
          <w:szCs w:val="22"/>
        </w:rPr>
        <w:t xml:space="preserve"> using immunohistochemistry (IHC) and/or microsatellite instability (MSI) testing</w:t>
      </w:r>
      <w:r w:rsidR="005109C7" w:rsidRPr="000A308D">
        <w:rPr>
          <w:rFonts w:ascii="Times" w:hAnsi="Times"/>
          <w:sz w:val="22"/>
          <w:szCs w:val="22"/>
        </w:rPr>
        <w:t xml:space="preserve">. </w:t>
      </w:r>
      <w:r>
        <w:rPr>
          <w:rFonts w:ascii="Times" w:hAnsi="Times"/>
          <w:sz w:val="22"/>
          <w:szCs w:val="22"/>
        </w:rPr>
        <w:t xml:space="preserve">For those patients </w:t>
      </w:r>
      <w:r w:rsidR="00C50B29">
        <w:rPr>
          <w:rFonts w:ascii="Times" w:hAnsi="Times"/>
          <w:sz w:val="22"/>
          <w:szCs w:val="22"/>
        </w:rPr>
        <w:t>who screen positive</w:t>
      </w:r>
      <w:r>
        <w:rPr>
          <w:rFonts w:ascii="Times" w:hAnsi="Times"/>
          <w:sz w:val="22"/>
          <w:szCs w:val="22"/>
        </w:rPr>
        <w:t xml:space="preserve"> </w:t>
      </w:r>
      <w:r w:rsidR="00C50B29">
        <w:rPr>
          <w:rFonts w:ascii="Times" w:hAnsi="Times"/>
          <w:sz w:val="22"/>
          <w:szCs w:val="22"/>
        </w:rPr>
        <w:t xml:space="preserve">for </w:t>
      </w:r>
      <w:r>
        <w:rPr>
          <w:rFonts w:ascii="Times" w:hAnsi="Times"/>
          <w:sz w:val="22"/>
          <w:szCs w:val="22"/>
        </w:rPr>
        <w:t>Lynch syndrome, genetic testing can then be performed to</w:t>
      </w:r>
      <w:r w:rsidR="00C50B29">
        <w:rPr>
          <w:rFonts w:ascii="Times" w:hAnsi="Times"/>
          <w:sz w:val="22"/>
          <w:szCs w:val="22"/>
        </w:rPr>
        <w:t xml:space="preserve"> diagnose Lynch syndrome by</w:t>
      </w:r>
      <w:r>
        <w:rPr>
          <w:rFonts w:ascii="Times" w:hAnsi="Times"/>
          <w:sz w:val="22"/>
          <w:szCs w:val="22"/>
        </w:rPr>
        <w:t xml:space="preserve"> identify</w:t>
      </w:r>
      <w:r w:rsidR="00C50B29">
        <w:rPr>
          <w:rFonts w:ascii="Times" w:hAnsi="Times"/>
          <w:sz w:val="22"/>
          <w:szCs w:val="22"/>
        </w:rPr>
        <w:t>ing</w:t>
      </w:r>
      <w:r>
        <w:rPr>
          <w:rFonts w:ascii="Times" w:hAnsi="Times"/>
          <w:sz w:val="22"/>
          <w:szCs w:val="22"/>
        </w:rPr>
        <w:t xml:space="preserve"> the patient’s specific mutation</w:t>
      </w:r>
      <w:r w:rsidR="00C50B29">
        <w:rPr>
          <w:rFonts w:ascii="Times" w:hAnsi="Times"/>
          <w:sz w:val="22"/>
          <w:szCs w:val="22"/>
        </w:rPr>
        <w:t>. O</w:t>
      </w:r>
      <w:r>
        <w:rPr>
          <w:rFonts w:ascii="Times" w:hAnsi="Times"/>
          <w:sz w:val="22"/>
          <w:szCs w:val="22"/>
        </w:rPr>
        <w:t xml:space="preserve">ther family members </w:t>
      </w:r>
      <w:r w:rsidR="00D43FA0">
        <w:rPr>
          <w:rFonts w:ascii="Times" w:hAnsi="Times"/>
          <w:sz w:val="22"/>
          <w:szCs w:val="22"/>
        </w:rPr>
        <w:t xml:space="preserve">then </w:t>
      </w:r>
      <w:r>
        <w:rPr>
          <w:rFonts w:ascii="Times" w:hAnsi="Times"/>
          <w:sz w:val="22"/>
          <w:szCs w:val="22"/>
        </w:rPr>
        <w:t>can be tested for that mutation.</w:t>
      </w:r>
    </w:p>
    <w:p w14:paraId="41F8ED7C" w14:textId="77777777" w:rsidR="00F60490" w:rsidRPr="00B551DA" w:rsidRDefault="00F60490" w:rsidP="00F60490">
      <w:pPr>
        <w:rPr>
          <w:rFonts w:ascii="Times" w:hAnsi="Times"/>
          <w:sz w:val="6"/>
          <w:szCs w:val="6"/>
        </w:rPr>
      </w:pPr>
    </w:p>
    <w:p w14:paraId="0C9EBA70" w14:textId="1083DED2" w:rsidR="00622BD6" w:rsidRDefault="00F60490" w:rsidP="00CC5D60">
      <w:pPr>
        <w:rPr>
          <w:rFonts w:ascii="Times" w:hAnsi="Times"/>
          <w:sz w:val="22"/>
          <w:szCs w:val="22"/>
        </w:rPr>
      </w:pPr>
      <w:r w:rsidRPr="001C6125">
        <w:rPr>
          <w:rFonts w:ascii="Times" w:hAnsi="Times"/>
          <w:sz w:val="22"/>
          <w:szCs w:val="22"/>
        </w:rPr>
        <w:t xml:space="preserve">Other </w:t>
      </w:r>
      <w:r w:rsidR="001C6125" w:rsidRPr="001C6125">
        <w:rPr>
          <w:rFonts w:ascii="Times" w:hAnsi="Times"/>
          <w:sz w:val="22"/>
          <w:szCs w:val="22"/>
        </w:rPr>
        <w:t xml:space="preserve">recommendations </w:t>
      </w:r>
      <w:r w:rsidRPr="001C6125">
        <w:rPr>
          <w:rFonts w:ascii="Times" w:hAnsi="Times"/>
          <w:sz w:val="22"/>
          <w:szCs w:val="22"/>
        </w:rPr>
        <w:t xml:space="preserve">exist to help identify </w:t>
      </w:r>
      <w:r w:rsidRPr="001C6125">
        <w:rPr>
          <w:rFonts w:ascii="Times" w:hAnsi="Times"/>
          <w:i/>
          <w:sz w:val="22"/>
          <w:szCs w:val="22"/>
        </w:rPr>
        <w:t>unaffected</w:t>
      </w:r>
      <w:r w:rsidRPr="001C6125">
        <w:rPr>
          <w:rFonts w:ascii="Times" w:hAnsi="Times"/>
          <w:b/>
          <w:sz w:val="22"/>
          <w:szCs w:val="22"/>
        </w:rPr>
        <w:t xml:space="preserve"> </w:t>
      </w:r>
      <w:r w:rsidRPr="001C6125">
        <w:rPr>
          <w:rFonts w:ascii="Times" w:hAnsi="Times"/>
          <w:sz w:val="22"/>
          <w:szCs w:val="22"/>
        </w:rPr>
        <w:t xml:space="preserve">individuals </w:t>
      </w:r>
      <w:r w:rsidR="001C6125" w:rsidRPr="001C6125">
        <w:rPr>
          <w:rFonts w:ascii="Times" w:hAnsi="Times"/>
          <w:sz w:val="22"/>
          <w:szCs w:val="22"/>
        </w:rPr>
        <w:t xml:space="preserve">who </w:t>
      </w:r>
      <w:r w:rsidRPr="001C6125">
        <w:rPr>
          <w:rFonts w:ascii="Times" w:hAnsi="Times"/>
          <w:sz w:val="22"/>
          <w:szCs w:val="22"/>
        </w:rPr>
        <w:t>may be at risk for Lynch syndrome</w:t>
      </w:r>
      <w:r w:rsidR="001C6125">
        <w:rPr>
          <w:rFonts w:ascii="Times" w:hAnsi="Times"/>
          <w:sz w:val="22"/>
          <w:szCs w:val="22"/>
        </w:rPr>
        <w:t xml:space="preserve">, including those from the </w:t>
      </w:r>
      <w:r w:rsidR="003D4640" w:rsidRPr="003D4640">
        <w:rPr>
          <w:rFonts w:ascii="Times" w:hAnsi="Times"/>
          <w:sz w:val="22"/>
          <w:szCs w:val="22"/>
        </w:rPr>
        <w:t>National Comprehensive Cancer Network (NCCN</w:t>
      </w:r>
      <w:proofErr w:type="gramStart"/>
      <w:r w:rsidR="001C6125">
        <w:rPr>
          <w:rFonts w:ascii="Times" w:hAnsi="Times"/>
          <w:sz w:val="22"/>
          <w:szCs w:val="22"/>
        </w:rPr>
        <w:t>)</w:t>
      </w:r>
      <w:r w:rsidR="000A5F2C">
        <w:rPr>
          <w:rFonts w:ascii="Times" w:hAnsi="Times"/>
          <w:sz w:val="22"/>
          <w:szCs w:val="22"/>
          <w:vertAlign w:val="superscript"/>
        </w:rPr>
        <w:t>2</w:t>
      </w:r>
      <w:proofErr w:type="gramEnd"/>
      <w:r w:rsidR="001C6125">
        <w:rPr>
          <w:rFonts w:ascii="Times" w:hAnsi="Times"/>
          <w:sz w:val="22"/>
          <w:szCs w:val="22"/>
        </w:rPr>
        <w:t xml:space="preserve"> and the </w:t>
      </w:r>
      <w:r w:rsidR="003D4640" w:rsidRPr="001C6125">
        <w:rPr>
          <w:rFonts w:ascii="Times" w:hAnsi="Times"/>
          <w:sz w:val="22"/>
          <w:szCs w:val="22"/>
        </w:rPr>
        <w:t>American Col</w:t>
      </w:r>
      <w:r w:rsidR="001C6125">
        <w:rPr>
          <w:rFonts w:ascii="Times" w:hAnsi="Times"/>
          <w:sz w:val="22"/>
          <w:szCs w:val="22"/>
        </w:rPr>
        <w:t>lege of Medical Genetics (ACMG)/</w:t>
      </w:r>
      <w:r w:rsidR="003D4640" w:rsidRPr="001C6125">
        <w:rPr>
          <w:rFonts w:ascii="Times" w:hAnsi="Times"/>
          <w:sz w:val="22"/>
          <w:szCs w:val="22"/>
        </w:rPr>
        <w:t>National Society of Genetic Counselors (NSGC)</w:t>
      </w:r>
      <w:r w:rsidR="00CC5D60">
        <w:rPr>
          <w:rFonts w:ascii="Times" w:hAnsi="Times"/>
          <w:sz w:val="22"/>
          <w:szCs w:val="22"/>
        </w:rPr>
        <w:t>.</w:t>
      </w:r>
      <w:r w:rsidR="000A5F2C">
        <w:rPr>
          <w:rFonts w:ascii="Times" w:hAnsi="Times"/>
          <w:sz w:val="22"/>
          <w:szCs w:val="22"/>
          <w:vertAlign w:val="superscript"/>
        </w:rPr>
        <w:t>3</w:t>
      </w:r>
      <w:r w:rsidR="00CC5D60">
        <w:rPr>
          <w:rFonts w:ascii="Times" w:hAnsi="Times"/>
          <w:sz w:val="22"/>
          <w:szCs w:val="22"/>
        </w:rPr>
        <w:t xml:space="preserve"> </w:t>
      </w:r>
    </w:p>
    <w:p w14:paraId="35485139" w14:textId="77777777" w:rsidR="00622BD6" w:rsidRPr="00B551DA" w:rsidRDefault="00622BD6" w:rsidP="00CC5D60">
      <w:pPr>
        <w:rPr>
          <w:rFonts w:ascii="Times" w:hAnsi="Times"/>
          <w:sz w:val="6"/>
          <w:szCs w:val="6"/>
        </w:rPr>
      </w:pPr>
    </w:p>
    <w:p w14:paraId="3F1A0511" w14:textId="40631C7A" w:rsidR="00CC5D60" w:rsidRPr="000A308D" w:rsidRDefault="00CC5D60" w:rsidP="00CC5D60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G</w:t>
      </w:r>
      <w:r w:rsidRPr="000A308D">
        <w:rPr>
          <w:rFonts w:ascii="Times" w:hAnsi="Times"/>
          <w:sz w:val="22"/>
          <w:szCs w:val="22"/>
        </w:rPr>
        <w:t xml:space="preserve">enetic counseling and testing for </w:t>
      </w:r>
      <w:r>
        <w:rPr>
          <w:rFonts w:ascii="Times" w:hAnsi="Times"/>
          <w:sz w:val="22"/>
          <w:szCs w:val="22"/>
        </w:rPr>
        <w:t>Lynch syndrome</w:t>
      </w:r>
      <w:r w:rsidRPr="000A308D">
        <w:rPr>
          <w:rFonts w:ascii="Times" w:hAnsi="Times"/>
          <w:sz w:val="22"/>
          <w:szCs w:val="22"/>
        </w:rPr>
        <w:t xml:space="preserve"> may be appropriate </w:t>
      </w:r>
      <w:r>
        <w:rPr>
          <w:rFonts w:ascii="Times" w:hAnsi="Times"/>
          <w:sz w:val="22"/>
          <w:szCs w:val="22"/>
        </w:rPr>
        <w:t>for patients who</w:t>
      </w:r>
      <w:r w:rsidRPr="000A308D">
        <w:rPr>
          <w:rFonts w:ascii="Times" w:hAnsi="Times"/>
          <w:sz w:val="22"/>
          <w:szCs w:val="22"/>
        </w:rPr>
        <w:t xml:space="preserve"> meet any of the following criteria:</w:t>
      </w:r>
    </w:p>
    <w:p w14:paraId="644120D6" w14:textId="0D32F410" w:rsidR="00CC5D60" w:rsidRPr="000A308D" w:rsidRDefault="00CC5D60" w:rsidP="00CC5D60">
      <w:pPr>
        <w:pStyle w:val="ListParagraph"/>
        <w:numPr>
          <w:ilvl w:val="0"/>
          <w:numId w:val="23"/>
        </w:num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D</w:t>
      </w:r>
      <w:r w:rsidRPr="000A308D">
        <w:rPr>
          <w:rFonts w:ascii="Times" w:hAnsi="Times"/>
          <w:sz w:val="22"/>
          <w:szCs w:val="22"/>
        </w:rPr>
        <w:t xml:space="preserve">iagnosed with colorectal cancer in the past </w:t>
      </w:r>
    </w:p>
    <w:p w14:paraId="31958C68" w14:textId="36D6B5E1" w:rsidR="00CC5D60" w:rsidRPr="000A308D" w:rsidRDefault="00CC5D60" w:rsidP="00CC5D60">
      <w:pPr>
        <w:pStyle w:val="ListParagraph"/>
        <w:numPr>
          <w:ilvl w:val="0"/>
          <w:numId w:val="23"/>
        </w:num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D</w:t>
      </w:r>
      <w:r w:rsidRPr="000A308D">
        <w:rPr>
          <w:rFonts w:ascii="Times" w:hAnsi="Times"/>
          <w:sz w:val="22"/>
          <w:szCs w:val="22"/>
        </w:rPr>
        <w:t>iagnosed with endometrial cancer (especially before age</w:t>
      </w:r>
      <w:r w:rsidRPr="000A308D">
        <w:rPr>
          <w:rStyle w:val="CommentReference"/>
          <w:rFonts w:ascii="Times" w:hAnsi="Times"/>
          <w:sz w:val="22"/>
          <w:szCs w:val="22"/>
        </w:rPr>
        <w:t xml:space="preserve"> 50)</w:t>
      </w:r>
    </w:p>
    <w:p w14:paraId="51384361" w14:textId="18373D6C" w:rsidR="00CC5D60" w:rsidRPr="000A308D" w:rsidRDefault="00CC5D60" w:rsidP="00CC5D60">
      <w:pPr>
        <w:pStyle w:val="ListParagraph"/>
        <w:numPr>
          <w:ilvl w:val="0"/>
          <w:numId w:val="23"/>
        </w:num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S</w:t>
      </w:r>
      <w:r w:rsidRPr="000A308D">
        <w:rPr>
          <w:rFonts w:ascii="Times" w:hAnsi="Times"/>
          <w:sz w:val="22"/>
          <w:szCs w:val="22"/>
        </w:rPr>
        <w:t>everal family members with colorectal</w:t>
      </w:r>
      <w:r w:rsidR="00B21237">
        <w:rPr>
          <w:rFonts w:ascii="Times" w:hAnsi="Times"/>
          <w:sz w:val="22"/>
          <w:szCs w:val="22"/>
        </w:rPr>
        <w:t>, endometrial,</w:t>
      </w:r>
      <w:r w:rsidRPr="000A308D">
        <w:rPr>
          <w:rFonts w:ascii="Times" w:hAnsi="Times"/>
          <w:sz w:val="22"/>
          <w:szCs w:val="22"/>
        </w:rPr>
        <w:t xml:space="preserve"> or other cancers associated with </w:t>
      </w:r>
      <w:r>
        <w:rPr>
          <w:rFonts w:ascii="Times" w:hAnsi="Times"/>
          <w:sz w:val="22"/>
          <w:szCs w:val="22"/>
        </w:rPr>
        <w:t>Lynch syndrome</w:t>
      </w:r>
    </w:p>
    <w:p w14:paraId="2419DE9C" w14:textId="77777777" w:rsidR="00226A26" w:rsidRPr="00B551DA" w:rsidRDefault="00226A26">
      <w:pPr>
        <w:rPr>
          <w:rFonts w:ascii="Times" w:hAnsi="Times"/>
          <w:sz w:val="10"/>
          <w:szCs w:val="10"/>
        </w:rPr>
      </w:pPr>
    </w:p>
    <w:p w14:paraId="3DC358D7" w14:textId="6587481C" w:rsidR="001C6125" w:rsidRDefault="001C6125" w:rsidP="00B551DA">
      <w:pPr>
        <w:rPr>
          <w:rFonts w:ascii="Times" w:hAnsi="Times"/>
          <w:b/>
          <w:sz w:val="22"/>
          <w:szCs w:val="22"/>
        </w:rPr>
      </w:pPr>
      <w:r w:rsidRPr="00284394">
        <w:rPr>
          <w:rFonts w:ascii="Times" w:hAnsi="Times"/>
          <w:b/>
          <w:sz w:val="22"/>
          <w:szCs w:val="22"/>
        </w:rPr>
        <w:t>Genetic Counseling</w:t>
      </w:r>
      <w:r>
        <w:rPr>
          <w:rFonts w:ascii="Times" w:hAnsi="Times"/>
          <w:b/>
          <w:sz w:val="22"/>
          <w:szCs w:val="22"/>
        </w:rPr>
        <w:t xml:space="preserve"> and Testing for </w:t>
      </w:r>
      <w:r w:rsidR="003A7F61">
        <w:rPr>
          <w:rFonts w:ascii="Times" w:hAnsi="Times"/>
          <w:b/>
          <w:sz w:val="22"/>
          <w:szCs w:val="22"/>
        </w:rPr>
        <w:t>Lynch Syndrome</w:t>
      </w:r>
    </w:p>
    <w:p w14:paraId="0AC2E8E1" w14:textId="77777777" w:rsidR="00B551DA" w:rsidRPr="00B551DA" w:rsidRDefault="00B551DA" w:rsidP="00F62222">
      <w:pPr>
        <w:rPr>
          <w:rFonts w:ascii="Times" w:hAnsi="Times"/>
          <w:i/>
          <w:sz w:val="6"/>
          <w:szCs w:val="6"/>
        </w:rPr>
      </w:pPr>
    </w:p>
    <w:p w14:paraId="5D911BF6" w14:textId="77777777" w:rsidR="001C6125" w:rsidRDefault="001C6125" w:rsidP="00F62222">
      <w:pPr>
        <w:rPr>
          <w:rFonts w:ascii="Times" w:hAnsi="Times"/>
          <w:i/>
          <w:sz w:val="22"/>
          <w:szCs w:val="22"/>
        </w:rPr>
      </w:pPr>
      <w:r w:rsidRPr="00CD4C2F">
        <w:rPr>
          <w:rFonts w:ascii="Times" w:hAnsi="Times"/>
          <w:i/>
          <w:sz w:val="22"/>
          <w:szCs w:val="22"/>
        </w:rPr>
        <w:t>Genetic Counseling</w:t>
      </w:r>
      <w:r>
        <w:rPr>
          <w:rFonts w:ascii="Times" w:hAnsi="Times"/>
          <w:i/>
          <w:sz w:val="22"/>
          <w:szCs w:val="22"/>
        </w:rPr>
        <w:t xml:space="preserve"> </w:t>
      </w:r>
    </w:p>
    <w:p w14:paraId="2C24001E" w14:textId="77777777" w:rsidR="00F62222" w:rsidRPr="00B551DA" w:rsidRDefault="00F62222" w:rsidP="00F62222">
      <w:pPr>
        <w:rPr>
          <w:rFonts w:ascii="Times" w:hAnsi="Times"/>
          <w:i/>
          <w:sz w:val="6"/>
          <w:szCs w:val="6"/>
        </w:rPr>
      </w:pPr>
    </w:p>
    <w:p w14:paraId="22EAA36E" w14:textId="50DB8D18" w:rsidR="001C6125" w:rsidRPr="00CD4C2F" w:rsidRDefault="001C6125" w:rsidP="00F62222">
      <w:pPr>
        <w:rPr>
          <w:rFonts w:ascii="Times" w:hAnsi="Times"/>
          <w:i/>
          <w:sz w:val="22"/>
          <w:szCs w:val="22"/>
        </w:rPr>
      </w:pPr>
      <w:r w:rsidRPr="00284394">
        <w:rPr>
          <w:rFonts w:ascii="Times" w:hAnsi="Times"/>
          <w:sz w:val="22"/>
          <w:szCs w:val="22"/>
        </w:rPr>
        <w:t xml:space="preserve">Genetic counseling helps </w:t>
      </w:r>
      <w:r w:rsidR="00733B73">
        <w:rPr>
          <w:rFonts w:ascii="Times" w:hAnsi="Times"/>
          <w:sz w:val="22"/>
          <w:szCs w:val="22"/>
        </w:rPr>
        <w:t>patients and their families</w:t>
      </w:r>
      <w:r w:rsidRPr="00284394">
        <w:rPr>
          <w:rFonts w:ascii="Times" w:hAnsi="Times"/>
          <w:sz w:val="22"/>
          <w:szCs w:val="22"/>
        </w:rPr>
        <w:t xml:space="preserve"> better understand their risk for hereditary cancer so that they can make informed decisions about </w:t>
      </w:r>
      <w:r w:rsidR="00733B73">
        <w:rPr>
          <w:rFonts w:ascii="Times" w:hAnsi="Times"/>
          <w:sz w:val="22"/>
          <w:szCs w:val="22"/>
        </w:rPr>
        <w:t xml:space="preserve">tumor screening, </w:t>
      </w:r>
      <w:r w:rsidRPr="00284394">
        <w:rPr>
          <w:rFonts w:ascii="Times" w:hAnsi="Times"/>
          <w:sz w:val="22"/>
          <w:szCs w:val="22"/>
        </w:rPr>
        <w:t>genetic testing</w:t>
      </w:r>
      <w:r w:rsidR="00CD05EC">
        <w:rPr>
          <w:rFonts w:ascii="Times" w:hAnsi="Times"/>
          <w:sz w:val="22"/>
          <w:szCs w:val="22"/>
        </w:rPr>
        <w:t>,</w:t>
      </w:r>
      <w:r w:rsidRPr="00284394">
        <w:rPr>
          <w:rFonts w:ascii="Times" w:hAnsi="Times"/>
          <w:sz w:val="22"/>
          <w:szCs w:val="22"/>
        </w:rPr>
        <w:t xml:space="preserve"> and follow-up care by:</w:t>
      </w:r>
    </w:p>
    <w:p w14:paraId="0EDD5ED9" w14:textId="35ACDE8B" w:rsidR="001C6125" w:rsidRPr="004F4F62" w:rsidRDefault="001C6125" w:rsidP="004F4F62">
      <w:pPr>
        <w:pStyle w:val="ListParagraph"/>
        <w:numPr>
          <w:ilvl w:val="0"/>
          <w:numId w:val="6"/>
        </w:numPr>
        <w:rPr>
          <w:rFonts w:ascii="Times" w:hAnsi="Times"/>
          <w:sz w:val="22"/>
          <w:szCs w:val="22"/>
        </w:rPr>
      </w:pPr>
      <w:r w:rsidRPr="00284394">
        <w:rPr>
          <w:rFonts w:ascii="Times" w:hAnsi="Times"/>
          <w:sz w:val="22"/>
          <w:szCs w:val="22"/>
        </w:rPr>
        <w:t>Reviewing an individual’s personal and family medical history</w:t>
      </w:r>
    </w:p>
    <w:p w14:paraId="5D8C71B6" w14:textId="2045F480" w:rsidR="001C6125" w:rsidRPr="004B2D68" w:rsidRDefault="001C6125" w:rsidP="001C6125">
      <w:pPr>
        <w:pStyle w:val="ListParagraph"/>
        <w:numPr>
          <w:ilvl w:val="0"/>
          <w:numId w:val="6"/>
        </w:num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Reviewing</w:t>
      </w:r>
      <w:r w:rsidRPr="00284394">
        <w:rPr>
          <w:rFonts w:ascii="Times" w:hAnsi="Times"/>
          <w:sz w:val="22"/>
          <w:szCs w:val="22"/>
        </w:rPr>
        <w:t xml:space="preserve"> risk for </w:t>
      </w:r>
      <w:r w:rsidR="004F4F62">
        <w:rPr>
          <w:rFonts w:ascii="Times" w:hAnsi="Times"/>
          <w:sz w:val="22"/>
          <w:szCs w:val="22"/>
        </w:rPr>
        <w:t>Lynch syndrome</w:t>
      </w:r>
      <w:r w:rsidRPr="00284394">
        <w:rPr>
          <w:rFonts w:ascii="Times" w:hAnsi="Times"/>
          <w:sz w:val="22"/>
          <w:szCs w:val="22"/>
        </w:rPr>
        <w:t xml:space="preserve"> and the chance of finding a mutation through </w:t>
      </w:r>
      <w:r w:rsidR="004F4F62">
        <w:rPr>
          <w:rFonts w:ascii="Times" w:hAnsi="Times"/>
          <w:sz w:val="22"/>
          <w:szCs w:val="22"/>
        </w:rPr>
        <w:t xml:space="preserve">tumor screening and </w:t>
      </w:r>
      <w:r w:rsidRPr="00284394">
        <w:rPr>
          <w:rFonts w:ascii="Times" w:hAnsi="Times"/>
          <w:sz w:val="22"/>
          <w:szCs w:val="22"/>
        </w:rPr>
        <w:t>genetic testing</w:t>
      </w:r>
    </w:p>
    <w:p w14:paraId="6FF34CE0" w14:textId="069128C8" w:rsidR="001C6125" w:rsidRPr="00284394" w:rsidRDefault="001C6125" w:rsidP="001C6125">
      <w:pPr>
        <w:pStyle w:val="ListParagraph"/>
        <w:numPr>
          <w:ilvl w:val="0"/>
          <w:numId w:val="6"/>
        </w:numPr>
        <w:rPr>
          <w:rFonts w:ascii="Times" w:hAnsi="Times"/>
          <w:sz w:val="22"/>
          <w:szCs w:val="22"/>
        </w:rPr>
      </w:pPr>
      <w:r w:rsidRPr="00284394">
        <w:rPr>
          <w:rFonts w:ascii="Times" w:hAnsi="Times"/>
          <w:sz w:val="22"/>
          <w:szCs w:val="22"/>
        </w:rPr>
        <w:t xml:space="preserve">Interpreting </w:t>
      </w:r>
      <w:r w:rsidR="004F4F62">
        <w:rPr>
          <w:rFonts w:ascii="Times" w:hAnsi="Times"/>
          <w:sz w:val="22"/>
          <w:szCs w:val="22"/>
        </w:rPr>
        <w:t xml:space="preserve">tumor screening and </w:t>
      </w:r>
      <w:r w:rsidRPr="00284394">
        <w:rPr>
          <w:rFonts w:ascii="Times" w:hAnsi="Times"/>
          <w:sz w:val="22"/>
          <w:szCs w:val="22"/>
        </w:rPr>
        <w:t>genetic test</w:t>
      </w:r>
      <w:r w:rsidR="00C451A5">
        <w:rPr>
          <w:rFonts w:ascii="Times" w:hAnsi="Times"/>
          <w:sz w:val="22"/>
          <w:szCs w:val="22"/>
        </w:rPr>
        <w:t>ing</w:t>
      </w:r>
      <w:r w:rsidRPr="00284394">
        <w:rPr>
          <w:rFonts w:ascii="Times" w:hAnsi="Times"/>
          <w:sz w:val="22"/>
          <w:szCs w:val="22"/>
        </w:rPr>
        <w:t xml:space="preserve"> results and explaining what they mean for individuals and their relatives</w:t>
      </w:r>
    </w:p>
    <w:p w14:paraId="63D90D95" w14:textId="1A7A988F" w:rsidR="001C6125" w:rsidRPr="00284394" w:rsidRDefault="001C6125" w:rsidP="001C6125">
      <w:pPr>
        <w:pStyle w:val="ListParagraph"/>
        <w:numPr>
          <w:ilvl w:val="0"/>
          <w:numId w:val="6"/>
        </w:numPr>
        <w:rPr>
          <w:rFonts w:ascii="Times" w:hAnsi="Times"/>
          <w:sz w:val="22"/>
          <w:szCs w:val="22"/>
        </w:rPr>
      </w:pPr>
      <w:r w:rsidRPr="00284394">
        <w:rPr>
          <w:rFonts w:ascii="Times" w:hAnsi="Times"/>
          <w:sz w:val="22"/>
          <w:szCs w:val="22"/>
        </w:rPr>
        <w:t xml:space="preserve">Outlining medical management implications of a positive or a negative </w:t>
      </w:r>
      <w:r w:rsidR="00320229">
        <w:rPr>
          <w:rFonts w:ascii="Times" w:hAnsi="Times"/>
          <w:sz w:val="22"/>
          <w:szCs w:val="22"/>
        </w:rPr>
        <w:t xml:space="preserve">screen or </w:t>
      </w:r>
      <w:r w:rsidRPr="00284394">
        <w:rPr>
          <w:rFonts w:ascii="Times" w:hAnsi="Times"/>
          <w:sz w:val="22"/>
          <w:szCs w:val="22"/>
        </w:rPr>
        <w:t>test result  </w:t>
      </w:r>
    </w:p>
    <w:p w14:paraId="18EAEFAA" w14:textId="77777777" w:rsidR="001C6125" w:rsidRPr="00284394" w:rsidRDefault="001C6125" w:rsidP="001C6125">
      <w:pPr>
        <w:pStyle w:val="ListParagraph"/>
        <w:numPr>
          <w:ilvl w:val="0"/>
          <w:numId w:val="6"/>
        </w:numPr>
        <w:rPr>
          <w:rFonts w:ascii="Times" w:hAnsi="Times"/>
          <w:sz w:val="22"/>
          <w:szCs w:val="22"/>
        </w:rPr>
      </w:pPr>
      <w:r w:rsidRPr="00284394">
        <w:rPr>
          <w:rFonts w:ascii="Times" w:hAnsi="Times"/>
          <w:sz w:val="22"/>
          <w:szCs w:val="22"/>
        </w:rPr>
        <w:t xml:space="preserve">Providing referrals to medical specialists, support resources, and research opportunities </w:t>
      </w:r>
    </w:p>
    <w:p w14:paraId="07F8FAC4" w14:textId="77777777" w:rsidR="001C6125" w:rsidRDefault="001C6125" w:rsidP="001C6125">
      <w:pPr>
        <w:pStyle w:val="ListParagraph"/>
        <w:numPr>
          <w:ilvl w:val="0"/>
          <w:numId w:val="6"/>
        </w:numPr>
        <w:rPr>
          <w:rFonts w:ascii="Times" w:hAnsi="Times"/>
          <w:sz w:val="22"/>
          <w:szCs w:val="22"/>
        </w:rPr>
      </w:pPr>
      <w:r w:rsidRPr="00284394">
        <w:rPr>
          <w:rFonts w:ascii="Times" w:hAnsi="Times"/>
          <w:sz w:val="22"/>
          <w:szCs w:val="22"/>
        </w:rPr>
        <w:lastRenderedPageBreak/>
        <w:t>Addressing concerns about the privacy and confidentiality of personal genetic information</w:t>
      </w:r>
    </w:p>
    <w:p w14:paraId="75B8F8E8" w14:textId="77777777" w:rsidR="001C6125" w:rsidRPr="00B551DA" w:rsidRDefault="001C6125" w:rsidP="001C6125">
      <w:pPr>
        <w:rPr>
          <w:rFonts w:ascii="Times" w:hAnsi="Times"/>
          <w:sz w:val="6"/>
          <w:szCs w:val="6"/>
        </w:rPr>
      </w:pPr>
    </w:p>
    <w:p w14:paraId="5431D5F7" w14:textId="77777777" w:rsidR="001C6125" w:rsidRDefault="001C6125" w:rsidP="001C6125">
      <w:pPr>
        <w:rPr>
          <w:rFonts w:ascii="Times" w:hAnsi="Times"/>
          <w:i/>
          <w:sz w:val="22"/>
          <w:szCs w:val="22"/>
        </w:rPr>
      </w:pPr>
      <w:r>
        <w:rPr>
          <w:rFonts w:ascii="Times" w:hAnsi="Times"/>
          <w:i/>
          <w:sz w:val="22"/>
          <w:szCs w:val="22"/>
        </w:rPr>
        <w:t xml:space="preserve">Benefits and Risks of </w:t>
      </w:r>
      <w:r w:rsidRPr="00CD4C2F">
        <w:rPr>
          <w:rFonts w:ascii="Times" w:hAnsi="Times"/>
          <w:i/>
          <w:sz w:val="22"/>
          <w:szCs w:val="22"/>
        </w:rPr>
        <w:t xml:space="preserve">Genetic Testing </w:t>
      </w:r>
    </w:p>
    <w:p w14:paraId="16EA3DF9" w14:textId="77777777" w:rsidR="001C6125" w:rsidRPr="00B551DA" w:rsidRDefault="001C6125" w:rsidP="001C6125">
      <w:pPr>
        <w:rPr>
          <w:rFonts w:ascii="Times" w:hAnsi="Times"/>
          <w:i/>
          <w:sz w:val="6"/>
          <w:szCs w:val="6"/>
        </w:rPr>
      </w:pPr>
    </w:p>
    <w:p w14:paraId="335839BF" w14:textId="1BF84A1D" w:rsidR="001C6125" w:rsidRPr="00306AD6" w:rsidRDefault="001C6125" w:rsidP="004F4F6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306AD6">
        <w:rPr>
          <w:rFonts w:ascii="Times New Roman" w:hAnsi="Times New Roman" w:cs="Times New Roman"/>
          <w:sz w:val="22"/>
          <w:szCs w:val="22"/>
        </w:rPr>
        <w:t xml:space="preserve">Individuals with a positive </w:t>
      </w:r>
      <w:r w:rsidR="00320229">
        <w:rPr>
          <w:rFonts w:ascii="Times New Roman" w:hAnsi="Times New Roman" w:cs="Times New Roman"/>
          <w:sz w:val="22"/>
          <w:szCs w:val="22"/>
        </w:rPr>
        <w:t xml:space="preserve">genetic </w:t>
      </w:r>
      <w:r w:rsidRPr="00306AD6">
        <w:rPr>
          <w:rFonts w:ascii="Times New Roman" w:hAnsi="Times New Roman" w:cs="Times New Roman"/>
          <w:sz w:val="22"/>
          <w:szCs w:val="22"/>
        </w:rPr>
        <w:t>test result can take steps to reduce their cancer risk through ea</w:t>
      </w:r>
      <w:r>
        <w:rPr>
          <w:rFonts w:ascii="Times New Roman" w:hAnsi="Times New Roman" w:cs="Times New Roman"/>
          <w:sz w:val="22"/>
          <w:szCs w:val="22"/>
        </w:rPr>
        <w:t>rlier, more frequent</w:t>
      </w:r>
      <w:r w:rsidR="00FD3C22">
        <w:rPr>
          <w:rFonts w:ascii="Times New Roman" w:hAnsi="Times New Roman" w:cs="Times New Roman"/>
          <w:sz w:val="22"/>
          <w:szCs w:val="22"/>
        </w:rPr>
        <w:t xml:space="preserve"> and/or additional</w:t>
      </w:r>
      <w:r>
        <w:rPr>
          <w:rFonts w:ascii="Times New Roman" w:hAnsi="Times New Roman" w:cs="Times New Roman"/>
          <w:sz w:val="22"/>
          <w:szCs w:val="22"/>
        </w:rPr>
        <w:t xml:space="preserve"> screening</w:t>
      </w:r>
      <w:r w:rsidR="00320229">
        <w:rPr>
          <w:rFonts w:ascii="Times New Roman" w:hAnsi="Times New Roman" w:cs="Times New Roman"/>
          <w:sz w:val="22"/>
          <w:szCs w:val="22"/>
        </w:rPr>
        <w:t xml:space="preserve"> </w:t>
      </w:r>
      <w:r w:rsidR="004F4F62">
        <w:rPr>
          <w:rFonts w:ascii="Times New Roman" w:hAnsi="Times New Roman" w:cs="Times New Roman"/>
          <w:sz w:val="22"/>
          <w:szCs w:val="22"/>
        </w:rPr>
        <w:t xml:space="preserve">or </w:t>
      </w:r>
      <w:r w:rsidR="004F4F62" w:rsidRPr="004F4F62">
        <w:rPr>
          <w:rFonts w:ascii="Times New Roman" w:hAnsi="Times New Roman" w:cs="Times New Roman"/>
          <w:sz w:val="22"/>
          <w:szCs w:val="22"/>
        </w:rPr>
        <w:t>prophylactic surgery</w:t>
      </w:r>
      <w:r w:rsidR="004F4F62">
        <w:rPr>
          <w:rFonts w:ascii="Times New Roman" w:hAnsi="Times New Roman" w:cs="Times New Roman"/>
          <w:sz w:val="22"/>
          <w:szCs w:val="22"/>
        </w:rPr>
        <w:t xml:space="preserve"> in some cases</w:t>
      </w:r>
    </w:p>
    <w:p w14:paraId="5AAC2861" w14:textId="77777777" w:rsidR="001C6125" w:rsidRPr="0085357D" w:rsidRDefault="001C6125" w:rsidP="001C612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306AD6">
        <w:rPr>
          <w:rFonts w:ascii="Times New Roman" w:hAnsi="Times New Roman" w:cs="Times New Roman"/>
          <w:sz w:val="22"/>
          <w:szCs w:val="22"/>
        </w:rPr>
        <w:t xml:space="preserve">Genetic testing may provide a patient’s </w:t>
      </w:r>
      <w:r>
        <w:rPr>
          <w:rFonts w:ascii="Times New Roman" w:hAnsi="Times New Roman" w:cs="Times New Roman"/>
          <w:sz w:val="22"/>
          <w:szCs w:val="22"/>
        </w:rPr>
        <w:t xml:space="preserve">relatives </w:t>
      </w:r>
      <w:r w:rsidRPr="00306AD6">
        <w:rPr>
          <w:rFonts w:ascii="Times New Roman" w:hAnsi="Times New Roman" w:cs="Times New Roman"/>
          <w:sz w:val="22"/>
          <w:szCs w:val="22"/>
        </w:rPr>
        <w:t>with useful information</w:t>
      </w:r>
      <w:r>
        <w:rPr>
          <w:rFonts w:ascii="Times New Roman" w:hAnsi="Times New Roman" w:cs="Times New Roman"/>
          <w:sz w:val="22"/>
          <w:szCs w:val="22"/>
        </w:rPr>
        <w:t xml:space="preserve">, including which </w:t>
      </w:r>
      <w:r w:rsidRPr="0085357D">
        <w:rPr>
          <w:rFonts w:ascii="Times New Roman" w:hAnsi="Times New Roman" w:cs="Times New Roman"/>
          <w:sz w:val="22"/>
          <w:szCs w:val="22"/>
        </w:rPr>
        <w:t xml:space="preserve">mutation relatives should be tested for. </w:t>
      </w:r>
    </w:p>
    <w:p w14:paraId="199602D5" w14:textId="479B8BDD" w:rsidR="001C6125" w:rsidRPr="0085357D" w:rsidRDefault="00FD3C22" w:rsidP="001C612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For relatives, a</w:t>
      </w:r>
      <w:r w:rsidR="001C6125" w:rsidRPr="0085357D">
        <w:rPr>
          <w:rFonts w:ascii="Times New Roman" w:hAnsi="Times New Roman" w:cs="Times New Roman"/>
          <w:sz w:val="22"/>
          <w:szCs w:val="22"/>
        </w:rPr>
        <w:t xml:space="preserve"> negative test result may provide a sense of relief and </w:t>
      </w:r>
      <w:r w:rsidR="001C6125">
        <w:rPr>
          <w:rFonts w:ascii="Times New Roman" w:hAnsi="Times New Roman" w:cs="Times New Roman"/>
          <w:sz w:val="22"/>
          <w:szCs w:val="22"/>
        </w:rPr>
        <w:t>will help the</w:t>
      </w:r>
      <w:r w:rsidR="002B6BC3">
        <w:rPr>
          <w:rFonts w:ascii="Times New Roman" w:hAnsi="Times New Roman" w:cs="Times New Roman"/>
          <w:sz w:val="22"/>
          <w:szCs w:val="22"/>
        </w:rPr>
        <w:t>m</w:t>
      </w:r>
      <w:r w:rsidR="001C6125">
        <w:rPr>
          <w:rFonts w:ascii="Times New Roman" w:hAnsi="Times New Roman" w:cs="Times New Roman"/>
          <w:sz w:val="22"/>
          <w:szCs w:val="22"/>
        </w:rPr>
        <w:t xml:space="preserve"> avoid </w:t>
      </w:r>
      <w:r w:rsidR="001C6125" w:rsidRPr="0085357D">
        <w:rPr>
          <w:rFonts w:ascii="Times New Roman" w:hAnsi="Times New Roman" w:cs="Times New Roman"/>
          <w:sz w:val="22"/>
          <w:szCs w:val="22"/>
        </w:rPr>
        <w:t>unneeded screens or surgeries.</w:t>
      </w:r>
    </w:p>
    <w:p w14:paraId="2AF766F1" w14:textId="108DBF41" w:rsidR="001C6125" w:rsidRDefault="001C6125" w:rsidP="001C612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85357D">
        <w:rPr>
          <w:rFonts w:ascii="Times New Roman" w:hAnsi="Times New Roman" w:cs="Times New Roman"/>
          <w:sz w:val="22"/>
          <w:szCs w:val="22"/>
        </w:rPr>
        <w:t xml:space="preserve">Although the benefits of genetic testing are thought to greatly outweigh the disadvantages, test results may affect a person’s emotions, family relationships, finances, privacy, </w:t>
      </w:r>
      <w:r w:rsidR="00CD7162">
        <w:rPr>
          <w:rFonts w:ascii="Times New Roman" w:hAnsi="Times New Roman" w:cs="Times New Roman"/>
          <w:sz w:val="22"/>
          <w:szCs w:val="22"/>
        </w:rPr>
        <w:t xml:space="preserve">insurance, </w:t>
      </w:r>
      <w:r w:rsidRPr="0085357D">
        <w:rPr>
          <w:rFonts w:ascii="Times New Roman" w:hAnsi="Times New Roman" w:cs="Times New Roman"/>
          <w:sz w:val="22"/>
          <w:szCs w:val="22"/>
        </w:rPr>
        <w:t>and medical choices.</w:t>
      </w:r>
    </w:p>
    <w:p w14:paraId="64327773" w14:textId="3E3D0ABA" w:rsidR="006A0A5A" w:rsidRPr="00E65F2C" w:rsidRDefault="006A0A5A" w:rsidP="006A0A5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Genetic information cannot be used to deny someone </w:t>
      </w:r>
      <w:r w:rsidRPr="00B14A48">
        <w:rPr>
          <w:rFonts w:ascii="Times New Roman" w:hAnsi="Times New Roman" w:cs="Times New Roman"/>
          <w:sz w:val="22"/>
          <w:szCs w:val="22"/>
        </w:rPr>
        <w:t xml:space="preserve">health coverage </w:t>
      </w:r>
      <w:r>
        <w:rPr>
          <w:rFonts w:ascii="Times New Roman" w:hAnsi="Times New Roman" w:cs="Times New Roman"/>
          <w:sz w:val="22"/>
          <w:szCs w:val="22"/>
        </w:rPr>
        <w:t>or</w:t>
      </w:r>
      <w:r w:rsidRPr="00B14A48">
        <w:rPr>
          <w:rFonts w:ascii="Times New Roman" w:hAnsi="Times New Roman" w:cs="Times New Roman"/>
          <w:sz w:val="22"/>
          <w:szCs w:val="22"/>
        </w:rPr>
        <w:t xml:space="preserve"> employment</w:t>
      </w:r>
      <w:r>
        <w:rPr>
          <w:rFonts w:ascii="Times New Roman" w:hAnsi="Times New Roman" w:cs="Times New Roman"/>
          <w:sz w:val="22"/>
          <w:szCs w:val="22"/>
        </w:rPr>
        <w:t xml:space="preserve">, because of a federal law called the </w:t>
      </w:r>
      <w:r w:rsidRPr="00B14A48">
        <w:rPr>
          <w:rFonts w:ascii="Times New Roman" w:hAnsi="Times New Roman" w:cs="Times New Roman"/>
          <w:sz w:val="22"/>
          <w:szCs w:val="22"/>
        </w:rPr>
        <w:t xml:space="preserve">Genetic Information Nondiscrimination Act of 2008 </w:t>
      </w:r>
      <w:r>
        <w:rPr>
          <w:rFonts w:ascii="Times New Roman" w:hAnsi="Times New Roman" w:cs="Times New Roman"/>
          <w:sz w:val="22"/>
          <w:szCs w:val="22"/>
        </w:rPr>
        <w:t>(GINA). However, this law does not cover</w:t>
      </w:r>
      <w:r w:rsidRPr="00B14A48">
        <w:rPr>
          <w:rFonts w:ascii="Times New Roman" w:hAnsi="Times New Roman" w:cs="Times New Roman"/>
          <w:sz w:val="22"/>
          <w:szCs w:val="22"/>
        </w:rPr>
        <w:t xml:space="preserve"> life, disability and long-term care </w:t>
      </w:r>
      <w:r>
        <w:rPr>
          <w:rFonts w:ascii="Times New Roman" w:hAnsi="Times New Roman" w:cs="Times New Roman"/>
          <w:sz w:val="22"/>
          <w:szCs w:val="22"/>
        </w:rPr>
        <w:t>insurance, and only applies to asymptomatic individuals (</w:t>
      </w:r>
      <w:r w:rsidRPr="00A451E5">
        <w:rPr>
          <w:rFonts w:ascii="Times New Roman" w:hAnsi="Times New Roman" w:cs="Times New Roman"/>
          <w:i/>
          <w:sz w:val="22"/>
          <w:szCs w:val="22"/>
        </w:rPr>
        <w:t>not</w:t>
      </w:r>
      <w:r>
        <w:rPr>
          <w:rFonts w:ascii="Times New Roman" w:hAnsi="Times New Roman" w:cs="Times New Roman"/>
          <w:sz w:val="22"/>
          <w:szCs w:val="22"/>
        </w:rPr>
        <w:t xml:space="preserve"> those with a personal history of Lynch syndrome-related cancer)</w:t>
      </w:r>
      <w:r w:rsidRPr="0085357D">
        <w:rPr>
          <w:rFonts w:ascii="Times New Roman" w:hAnsi="Times New Roman" w:cs="Times New Roman"/>
          <w:sz w:val="22"/>
          <w:szCs w:val="22"/>
        </w:rPr>
        <w:t>.</w:t>
      </w:r>
    </w:p>
    <w:p w14:paraId="703502EA" w14:textId="1F533F7C" w:rsidR="001C6125" w:rsidRPr="0085357D" w:rsidRDefault="001C6125" w:rsidP="001C612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85357D">
        <w:rPr>
          <w:rFonts w:ascii="Times New Roman" w:hAnsi="Times New Roman" w:cs="Times New Roman"/>
          <w:sz w:val="22"/>
          <w:szCs w:val="22"/>
        </w:rPr>
        <w:t>Medical treatments, such as prophylactic surgery, are not without risk and could have serious, long</w:t>
      </w:r>
      <w:r w:rsidRPr="0085357D">
        <w:rPr>
          <w:rFonts w:ascii="Cambria Math" w:hAnsi="Cambria Math" w:cs="Cambria Math"/>
          <w:sz w:val="22"/>
          <w:szCs w:val="22"/>
        </w:rPr>
        <w:t>‐</w:t>
      </w:r>
      <w:r w:rsidRPr="0085357D">
        <w:rPr>
          <w:rFonts w:ascii="Times New Roman" w:hAnsi="Times New Roman" w:cs="Times New Roman"/>
          <w:sz w:val="22"/>
          <w:szCs w:val="22"/>
        </w:rPr>
        <w:t>term implications.</w:t>
      </w:r>
    </w:p>
    <w:p w14:paraId="3CBDC345" w14:textId="77777777" w:rsidR="001C6125" w:rsidRPr="00A62EA0" w:rsidRDefault="001C6125" w:rsidP="001C6125">
      <w:pPr>
        <w:rPr>
          <w:rFonts w:ascii="Times" w:hAnsi="Times"/>
          <w:sz w:val="10"/>
          <w:szCs w:val="10"/>
        </w:rPr>
      </w:pPr>
    </w:p>
    <w:p w14:paraId="56F8F612" w14:textId="5CA1C364" w:rsidR="001C6125" w:rsidRDefault="001C6125" w:rsidP="001C6125">
      <w:pPr>
        <w:rPr>
          <w:rFonts w:ascii="Times" w:hAnsi="Times"/>
          <w:b/>
          <w:sz w:val="22"/>
          <w:szCs w:val="22"/>
        </w:rPr>
      </w:pPr>
      <w:r w:rsidRPr="007440A5">
        <w:rPr>
          <w:rFonts w:ascii="Times" w:hAnsi="Times"/>
          <w:b/>
          <w:sz w:val="22"/>
          <w:szCs w:val="22"/>
        </w:rPr>
        <w:t xml:space="preserve">Medical Management of Patients with </w:t>
      </w:r>
      <w:r w:rsidR="00DE6F43">
        <w:rPr>
          <w:rFonts w:ascii="Times" w:hAnsi="Times"/>
          <w:b/>
          <w:sz w:val="22"/>
          <w:szCs w:val="22"/>
        </w:rPr>
        <w:t>Lynch syndrome</w:t>
      </w:r>
    </w:p>
    <w:p w14:paraId="2804FFBC" w14:textId="77777777" w:rsidR="001C6125" w:rsidRPr="00B551DA" w:rsidRDefault="001C6125" w:rsidP="001C6125">
      <w:pPr>
        <w:rPr>
          <w:rFonts w:ascii="Times" w:hAnsi="Times"/>
          <w:b/>
          <w:sz w:val="6"/>
          <w:szCs w:val="6"/>
        </w:rPr>
      </w:pPr>
    </w:p>
    <w:p w14:paraId="62D3980D" w14:textId="77777777" w:rsidR="001C6125" w:rsidRPr="007440A5" w:rsidRDefault="001C6125" w:rsidP="001C6125">
      <w:pPr>
        <w:rPr>
          <w:rFonts w:ascii="Times" w:hAnsi="Times"/>
          <w:i/>
          <w:sz w:val="22"/>
          <w:szCs w:val="22"/>
        </w:rPr>
      </w:pPr>
      <w:r w:rsidRPr="007440A5">
        <w:rPr>
          <w:rFonts w:ascii="Times" w:hAnsi="Times"/>
          <w:i/>
          <w:sz w:val="22"/>
          <w:szCs w:val="22"/>
        </w:rPr>
        <w:t>Several management options exist but the strength of evidence varies across types of interventions</w:t>
      </w:r>
    </w:p>
    <w:p w14:paraId="6A7D12DF" w14:textId="77777777" w:rsidR="001C6125" w:rsidRPr="00B551DA" w:rsidRDefault="001C6125" w:rsidP="001C6125">
      <w:pPr>
        <w:rPr>
          <w:rFonts w:ascii="Times" w:hAnsi="Times"/>
          <w:sz w:val="6"/>
          <w:szCs w:val="6"/>
        </w:rPr>
      </w:pPr>
    </w:p>
    <w:p w14:paraId="5B49E148" w14:textId="4273EAF4" w:rsidR="001C6125" w:rsidRPr="007440A5" w:rsidRDefault="001C6125" w:rsidP="001C6125">
      <w:pPr>
        <w:rPr>
          <w:rFonts w:ascii="Times" w:hAnsi="Times"/>
          <w:sz w:val="22"/>
          <w:szCs w:val="22"/>
        </w:rPr>
      </w:pPr>
      <w:r w:rsidRPr="007440A5">
        <w:rPr>
          <w:rFonts w:ascii="Times" w:hAnsi="Times"/>
          <w:sz w:val="22"/>
          <w:szCs w:val="22"/>
        </w:rPr>
        <w:t xml:space="preserve">Interventions </w:t>
      </w:r>
      <w:r w:rsidR="00320229">
        <w:rPr>
          <w:rFonts w:ascii="Times" w:hAnsi="Times"/>
          <w:sz w:val="22"/>
          <w:szCs w:val="22"/>
        </w:rPr>
        <w:t>recommended</w:t>
      </w:r>
      <w:r w:rsidRPr="007440A5">
        <w:rPr>
          <w:rFonts w:ascii="Times" w:hAnsi="Times"/>
          <w:sz w:val="22"/>
          <w:szCs w:val="22"/>
        </w:rPr>
        <w:t xml:space="preserve"> by </w:t>
      </w:r>
      <w:r w:rsidR="00320229">
        <w:rPr>
          <w:rFonts w:ascii="Times" w:hAnsi="Times"/>
          <w:bCs/>
          <w:sz w:val="22"/>
          <w:szCs w:val="22"/>
        </w:rPr>
        <w:t>EGAPP</w:t>
      </w:r>
      <w:r w:rsidRPr="007440A5">
        <w:rPr>
          <w:rFonts w:ascii="Times" w:hAnsi="Times"/>
          <w:sz w:val="22"/>
          <w:szCs w:val="22"/>
        </w:rPr>
        <w:t>:</w:t>
      </w:r>
    </w:p>
    <w:p w14:paraId="373498F2" w14:textId="44D1C78B" w:rsidR="00320229" w:rsidRDefault="00673EF8" w:rsidP="00320229">
      <w:pPr>
        <w:pStyle w:val="ListParagraph"/>
        <w:numPr>
          <w:ilvl w:val="0"/>
          <w:numId w:val="16"/>
        </w:num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Patients diagnosed with Lynch syndrome</w:t>
      </w:r>
      <w:r w:rsidR="00320229" w:rsidRPr="00320229">
        <w:rPr>
          <w:rFonts w:ascii="Times" w:hAnsi="Times"/>
          <w:sz w:val="22"/>
          <w:szCs w:val="22"/>
        </w:rPr>
        <w:t xml:space="preserve"> should be informed of the advantages of contacting blood relatives to offer counseling and targeted testing for Lynch syndrome</w:t>
      </w:r>
    </w:p>
    <w:p w14:paraId="26F2A9BB" w14:textId="4AA07B23" w:rsidR="00320229" w:rsidRDefault="00320229" w:rsidP="00320229">
      <w:pPr>
        <w:pStyle w:val="ListParagraph"/>
        <w:numPr>
          <w:ilvl w:val="0"/>
          <w:numId w:val="16"/>
        </w:numPr>
        <w:rPr>
          <w:rFonts w:ascii="Times" w:hAnsi="Times"/>
          <w:sz w:val="22"/>
          <w:szCs w:val="22"/>
        </w:rPr>
      </w:pPr>
      <w:r w:rsidRPr="00320229">
        <w:rPr>
          <w:rFonts w:ascii="Times" w:hAnsi="Times"/>
          <w:sz w:val="22"/>
          <w:szCs w:val="22"/>
        </w:rPr>
        <w:t xml:space="preserve">Relatives with Lynch syndrome should have more frequent colonoscopies </w:t>
      </w:r>
      <w:r w:rsidR="002E77B5">
        <w:rPr>
          <w:rFonts w:ascii="Times" w:hAnsi="Times"/>
          <w:sz w:val="22"/>
          <w:szCs w:val="22"/>
        </w:rPr>
        <w:t xml:space="preserve">starting </w:t>
      </w:r>
      <w:r w:rsidRPr="00320229">
        <w:rPr>
          <w:rFonts w:ascii="Times" w:hAnsi="Times"/>
          <w:sz w:val="22"/>
          <w:szCs w:val="22"/>
        </w:rPr>
        <w:t>at an earlier age</w:t>
      </w:r>
    </w:p>
    <w:p w14:paraId="3EBB5FB7" w14:textId="0C371DB1" w:rsidR="00320229" w:rsidRPr="00320229" w:rsidRDefault="00320229" w:rsidP="00320229">
      <w:pPr>
        <w:pStyle w:val="ListParagraph"/>
        <w:numPr>
          <w:ilvl w:val="0"/>
          <w:numId w:val="16"/>
        </w:numPr>
        <w:rPr>
          <w:rFonts w:ascii="Times" w:hAnsi="Times"/>
          <w:sz w:val="22"/>
          <w:szCs w:val="22"/>
        </w:rPr>
      </w:pPr>
      <w:r w:rsidRPr="00320229">
        <w:rPr>
          <w:rFonts w:ascii="Times" w:hAnsi="Times"/>
          <w:sz w:val="22"/>
          <w:szCs w:val="22"/>
        </w:rPr>
        <w:t xml:space="preserve">Women with Lynch syndrome </w:t>
      </w:r>
      <w:r w:rsidR="009002C6">
        <w:rPr>
          <w:rFonts w:ascii="Times" w:hAnsi="Times"/>
          <w:sz w:val="22"/>
          <w:szCs w:val="22"/>
        </w:rPr>
        <w:t>(with and without personal histories of Lynch syndrome-related cancers)</w:t>
      </w:r>
      <w:r w:rsidRPr="00320229">
        <w:rPr>
          <w:rFonts w:ascii="Times" w:hAnsi="Times"/>
          <w:sz w:val="22"/>
          <w:szCs w:val="22"/>
        </w:rPr>
        <w:t xml:space="preserve">should </w:t>
      </w:r>
      <w:r w:rsidR="00E1206C">
        <w:rPr>
          <w:rFonts w:ascii="Times" w:hAnsi="Times"/>
          <w:sz w:val="22"/>
          <w:szCs w:val="22"/>
        </w:rPr>
        <w:t>consider having</w:t>
      </w:r>
      <w:r w:rsidRPr="00320229">
        <w:rPr>
          <w:rFonts w:ascii="Times" w:hAnsi="Times"/>
          <w:sz w:val="22"/>
          <w:szCs w:val="22"/>
        </w:rPr>
        <w:t xml:space="preserve"> additional surveillance for endometrial cancer</w:t>
      </w:r>
    </w:p>
    <w:p w14:paraId="709ED972" w14:textId="77777777" w:rsidR="001C6125" w:rsidRPr="00B551DA" w:rsidRDefault="001C6125" w:rsidP="001C6125">
      <w:pPr>
        <w:rPr>
          <w:rFonts w:ascii="Times" w:hAnsi="Times"/>
          <w:b/>
          <w:sz w:val="6"/>
          <w:szCs w:val="6"/>
        </w:rPr>
      </w:pPr>
    </w:p>
    <w:p w14:paraId="1908D7D0" w14:textId="47E06518" w:rsidR="001C6125" w:rsidRPr="00A16925" w:rsidRDefault="003F1766" w:rsidP="001C6125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R</w:t>
      </w:r>
      <w:r w:rsidR="001C6125" w:rsidRPr="00A16925">
        <w:rPr>
          <w:rFonts w:ascii="Times" w:hAnsi="Times"/>
          <w:sz w:val="22"/>
          <w:szCs w:val="22"/>
        </w:rPr>
        <w:t>ecommendations</w:t>
      </w:r>
      <w:r>
        <w:rPr>
          <w:rFonts w:ascii="Times" w:hAnsi="Times"/>
          <w:sz w:val="22"/>
          <w:szCs w:val="22"/>
        </w:rPr>
        <w:t xml:space="preserve"> from other groups</w:t>
      </w:r>
      <w:r w:rsidR="001C6125" w:rsidRPr="00A16925">
        <w:rPr>
          <w:rFonts w:ascii="Times" w:hAnsi="Times"/>
          <w:sz w:val="22"/>
          <w:szCs w:val="22"/>
        </w:rPr>
        <w:t xml:space="preserve"> include</w:t>
      </w:r>
      <w:r w:rsidR="00E1206C">
        <w:rPr>
          <w:rFonts w:ascii="Times" w:hAnsi="Times"/>
          <w:sz w:val="22"/>
          <w:szCs w:val="22"/>
          <w:vertAlign w:val="superscript"/>
        </w:rPr>
        <w:t>2</w:t>
      </w:r>
      <w:proofErr w:type="gramStart"/>
      <w:r w:rsidR="00E1206C">
        <w:rPr>
          <w:rFonts w:ascii="Times" w:hAnsi="Times"/>
          <w:sz w:val="22"/>
          <w:szCs w:val="22"/>
          <w:vertAlign w:val="superscript"/>
        </w:rPr>
        <w:t>,3</w:t>
      </w:r>
      <w:proofErr w:type="gramEnd"/>
      <w:r w:rsidR="001C6125" w:rsidRPr="00A16925">
        <w:rPr>
          <w:rFonts w:ascii="Times" w:hAnsi="Times"/>
          <w:sz w:val="22"/>
          <w:szCs w:val="22"/>
        </w:rPr>
        <w:t xml:space="preserve">: </w:t>
      </w:r>
    </w:p>
    <w:p w14:paraId="4DC004CF" w14:textId="11177B04" w:rsidR="00320229" w:rsidRPr="00320229" w:rsidRDefault="00320229" w:rsidP="00320229">
      <w:pPr>
        <w:pStyle w:val="ListParagraph"/>
        <w:numPr>
          <w:ilvl w:val="0"/>
          <w:numId w:val="20"/>
        </w:numPr>
        <w:rPr>
          <w:rFonts w:ascii="Times" w:hAnsi="Times"/>
          <w:sz w:val="22"/>
          <w:szCs w:val="22"/>
        </w:rPr>
      </w:pPr>
      <w:r w:rsidRPr="007C6F2C">
        <w:rPr>
          <w:rFonts w:ascii="Times" w:hAnsi="Times"/>
          <w:i/>
          <w:sz w:val="22"/>
          <w:szCs w:val="22"/>
        </w:rPr>
        <w:t>Colon and Rectum</w:t>
      </w:r>
      <w:r w:rsidRPr="00320229">
        <w:rPr>
          <w:rFonts w:ascii="Times" w:hAnsi="Times"/>
          <w:sz w:val="22"/>
          <w:szCs w:val="22"/>
        </w:rPr>
        <w:t xml:space="preserve">: Colonoscopy every 1-2 years starting at age 20-25 or </w:t>
      </w:r>
      <w:r w:rsidR="002B6BC3">
        <w:rPr>
          <w:rFonts w:ascii="Times" w:hAnsi="Times"/>
          <w:sz w:val="22"/>
          <w:szCs w:val="22"/>
        </w:rPr>
        <w:t>2-</w:t>
      </w:r>
      <w:r w:rsidRPr="00320229">
        <w:rPr>
          <w:rFonts w:ascii="Times" w:hAnsi="Times"/>
          <w:sz w:val="22"/>
          <w:szCs w:val="22"/>
        </w:rPr>
        <w:t>5 years before the youngest case in the family</w:t>
      </w:r>
      <w:r w:rsidR="002B6BC3">
        <w:rPr>
          <w:rFonts w:ascii="Times" w:hAnsi="Times"/>
          <w:sz w:val="22"/>
          <w:szCs w:val="22"/>
        </w:rPr>
        <w:t xml:space="preserve"> if diagnosed before age 25</w:t>
      </w:r>
    </w:p>
    <w:p w14:paraId="0B13D29B" w14:textId="74FAA9FF" w:rsidR="00320229" w:rsidRPr="00BC3B9B" w:rsidRDefault="00320229" w:rsidP="00BC3B9B">
      <w:pPr>
        <w:pStyle w:val="ListParagraph"/>
        <w:numPr>
          <w:ilvl w:val="0"/>
          <w:numId w:val="20"/>
        </w:numPr>
        <w:rPr>
          <w:rFonts w:ascii="Times" w:hAnsi="Times"/>
          <w:sz w:val="22"/>
          <w:szCs w:val="22"/>
        </w:rPr>
      </w:pPr>
      <w:r w:rsidRPr="007C6F2C">
        <w:rPr>
          <w:rFonts w:ascii="Times" w:hAnsi="Times"/>
          <w:i/>
          <w:sz w:val="22"/>
          <w:szCs w:val="22"/>
        </w:rPr>
        <w:t>Endometrium and ovary</w:t>
      </w:r>
      <w:r>
        <w:rPr>
          <w:rFonts w:ascii="Times" w:hAnsi="Times"/>
          <w:sz w:val="22"/>
          <w:szCs w:val="22"/>
        </w:rPr>
        <w:t xml:space="preserve">: </w:t>
      </w:r>
      <w:r w:rsidRPr="00320229">
        <w:rPr>
          <w:rFonts w:ascii="Times" w:hAnsi="Times"/>
          <w:sz w:val="22"/>
          <w:szCs w:val="22"/>
        </w:rPr>
        <w:t xml:space="preserve">Gynecological examination, pelvic ultrasound, Ca125 analysis, and aspiration biopsy every year, </w:t>
      </w:r>
      <w:r w:rsidR="00BC3B9B">
        <w:rPr>
          <w:rFonts w:ascii="Times" w:hAnsi="Times"/>
          <w:sz w:val="22"/>
          <w:szCs w:val="22"/>
        </w:rPr>
        <w:t xml:space="preserve">starting at </w:t>
      </w:r>
      <w:r w:rsidRPr="00320229">
        <w:rPr>
          <w:rFonts w:ascii="Times" w:hAnsi="Times"/>
          <w:sz w:val="22"/>
          <w:szCs w:val="22"/>
        </w:rPr>
        <w:t>ages 30-35</w:t>
      </w:r>
      <w:r>
        <w:rPr>
          <w:rFonts w:ascii="Times" w:hAnsi="Times"/>
          <w:sz w:val="22"/>
          <w:szCs w:val="22"/>
        </w:rPr>
        <w:t xml:space="preserve">; </w:t>
      </w:r>
      <w:r w:rsidRPr="00320229">
        <w:rPr>
          <w:rFonts w:ascii="Times" w:hAnsi="Times"/>
          <w:sz w:val="22"/>
          <w:szCs w:val="22"/>
        </w:rPr>
        <w:t xml:space="preserve">Consider prophylactic hysterectomy and </w:t>
      </w:r>
      <w:proofErr w:type="spellStart"/>
      <w:r w:rsidRPr="00320229">
        <w:rPr>
          <w:rFonts w:ascii="Times" w:hAnsi="Times"/>
          <w:sz w:val="22"/>
          <w:szCs w:val="22"/>
        </w:rPr>
        <w:t>salpingo</w:t>
      </w:r>
      <w:proofErr w:type="spellEnd"/>
      <w:r w:rsidRPr="00320229">
        <w:rPr>
          <w:rFonts w:ascii="Times" w:hAnsi="Times"/>
          <w:sz w:val="22"/>
          <w:szCs w:val="22"/>
        </w:rPr>
        <w:t>-oophorectomy when childbearing is completed</w:t>
      </w:r>
      <w:r w:rsidR="00BC3B9B">
        <w:rPr>
          <w:rFonts w:ascii="Times" w:hAnsi="Times"/>
          <w:sz w:val="22"/>
          <w:szCs w:val="22"/>
        </w:rPr>
        <w:t xml:space="preserve">; </w:t>
      </w:r>
      <w:r w:rsidR="00BC3B9B" w:rsidRPr="00775DEF">
        <w:rPr>
          <w:rFonts w:ascii="Times" w:hAnsi="Times"/>
          <w:sz w:val="22"/>
          <w:szCs w:val="22"/>
        </w:rPr>
        <w:t>Patient education that dysfunctional uterine bleeding warrants evaluation</w:t>
      </w:r>
    </w:p>
    <w:p w14:paraId="3CB21BD9" w14:textId="397AD8E2" w:rsidR="00806E84" w:rsidRPr="00BC3B9B" w:rsidRDefault="00320229" w:rsidP="00BC3B9B">
      <w:pPr>
        <w:pStyle w:val="ListParagraph"/>
        <w:numPr>
          <w:ilvl w:val="0"/>
          <w:numId w:val="20"/>
        </w:numPr>
        <w:rPr>
          <w:rFonts w:ascii="Times" w:hAnsi="Times"/>
          <w:sz w:val="22"/>
          <w:szCs w:val="22"/>
        </w:rPr>
      </w:pPr>
      <w:r w:rsidRPr="007C6F2C">
        <w:rPr>
          <w:rFonts w:ascii="Times" w:hAnsi="Times"/>
          <w:i/>
          <w:sz w:val="22"/>
          <w:szCs w:val="22"/>
        </w:rPr>
        <w:t xml:space="preserve">Gastric </w:t>
      </w:r>
      <w:r w:rsidR="00BC3B9B" w:rsidRPr="007C6F2C">
        <w:rPr>
          <w:rFonts w:ascii="Times" w:hAnsi="Times"/>
          <w:i/>
          <w:sz w:val="22"/>
          <w:szCs w:val="22"/>
        </w:rPr>
        <w:t>and small bowel</w:t>
      </w:r>
      <w:r>
        <w:rPr>
          <w:rFonts w:ascii="Times" w:hAnsi="Times"/>
          <w:sz w:val="22"/>
          <w:szCs w:val="22"/>
        </w:rPr>
        <w:t xml:space="preserve">: </w:t>
      </w:r>
      <w:r w:rsidRPr="00320229">
        <w:rPr>
          <w:rFonts w:ascii="Times" w:hAnsi="Times"/>
          <w:sz w:val="22"/>
          <w:szCs w:val="22"/>
        </w:rPr>
        <w:t>Searc</w:t>
      </w:r>
      <w:r w:rsidR="00C451A5">
        <w:rPr>
          <w:rFonts w:ascii="Times" w:hAnsi="Times"/>
          <w:sz w:val="22"/>
          <w:szCs w:val="22"/>
        </w:rPr>
        <w:t xml:space="preserve">h for presence of </w:t>
      </w:r>
      <w:r w:rsidR="00C451A5" w:rsidRPr="00C451A5">
        <w:rPr>
          <w:rFonts w:ascii="Times" w:hAnsi="Times"/>
          <w:i/>
          <w:sz w:val="22"/>
          <w:szCs w:val="22"/>
        </w:rPr>
        <w:t>Helicobacter p</w:t>
      </w:r>
      <w:r w:rsidRPr="00C451A5">
        <w:rPr>
          <w:rFonts w:ascii="Times" w:hAnsi="Times"/>
          <w:i/>
          <w:sz w:val="22"/>
          <w:szCs w:val="22"/>
        </w:rPr>
        <w:t>ylori</w:t>
      </w:r>
      <w:r w:rsidRPr="00320229">
        <w:rPr>
          <w:rFonts w:ascii="Times" w:hAnsi="Times"/>
          <w:sz w:val="22"/>
          <w:szCs w:val="22"/>
        </w:rPr>
        <w:t xml:space="preserve"> and subsequent eradication</w:t>
      </w:r>
      <w:r w:rsidR="00775DEF">
        <w:rPr>
          <w:rFonts w:ascii="Times" w:hAnsi="Times"/>
          <w:sz w:val="22"/>
          <w:szCs w:val="22"/>
        </w:rPr>
        <w:t xml:space="preserve"> is recommended; </w:t>
      </w:r>
      <w:r w:rsidRPr="00775DEF">
        <w:rPr>
          <w:rFonts w:ascii="Times" w:hAnsi="Times"/>
          <w:sz w:val="22"/>
          <w:szCs w:val="22"/>
        </w:rPr>
        <w:t>Some experts recommend upper gastrointestinal endoscopy every 1-3 years for high incidence populations</w:t>
      </w:r>
      <w:r w:rsidR="00BC3B9B">
        <w:rPr>
          <w:rFonts w:ascii="Times" w:hAnsi="Times"/>
          <w:sz w:val="22"/>
          <w:szCs w:val="22"/>
        </w:rPr>
        <w:t xml:space="preserve">; </w:t>
      </w:r>
      <w:r w:rsidR="00775DEF" w:rsidRPr="00BC3B9B">
        <w:rPr>
          <w:rFonts w:ascii="Times" w:hAnsi="Times"/>
          <w:sz w:val="22"/>
          <w:szCs w:val="22"/>
        </w:rPr>
        <w:t>Select families may consider extended duodenoscopy and polypectomy at 2-3 y</w:t>
      </w:r>
      <w:r w:rsidR="009002C6">
        <w:rPr>
          <w:rFonts w:ascii="Times" w:hAnsi="Times"/>
          <w:sz w:val="22"/>
          <w:szCs w:val="22"/>
        </w:rPr>
        <w:t>ea</w:t>
      </w:r>
      <w:r w:rsidR="00775DEF" w:rsidRPr="00BC3B9B">
        <w:rPr>
          <w:rFonts w:ascii="Times" w:hAnsi="Times"/>
          <w:sz w:val="22"/>
          <w:szCs w:val="22"/>
        </w:rPr>
        <w:t>r intervals beginning age 30-35</w:t>
      </w:r>
    </w:p>
    <w:p w14:paraId="000E802A" w14:textId="25EDD85D" w:rsidR="00806E84" w:rsidRPr="00BC3B9B" w:rsidRDefault="00775DEF" w:rsidP="00BC3B9B">
      <w:pPr>
        <w:pStyle w:val="ListParagraph"/>
        <w:numPr>
          <w:ilvl w:val="0"/>
          <w:numId w:val="20"/>
        </w:numPr>
        <w:rPr>
          <w:rFonts w:ascii="Times" w:hAnsi="Times"/>
          <w:sz w:val="22"/>
          <w:szCs w:val="22"/>
        </w:rPr>
      </w:pPr>
      <w:r w:rsidRPr="007C6F2C">
        <w:rPr>
          <w:rFonts w:ascii="Times" w:hAnsi="Times"/>
          <w:i/>
          <w:sz w:val="22"/>
          <w:szCs w:val="22"/>
        </w:rPr>
        <w:t>Urothelial</w:t>
      </w:r>
      <w:r w:rsidR="00BC3B9B">
        <w:rPr>
          <w:rFonts w:ascii="Times" w:hAnsi="Times"/>
          <w:sz w:val="22"/>
          <w:szCs w:val="22"/>
        </w:rPr>
        <w:t xml:space="preserve">: </w:t>
      </w:r>
      <w:r w:rsidRPr="00BC3B9B">
        <w:rPr>
          <w:rFonts w:ascii="Times" w:hAnsi="Times"/>
          <w:sz w:val="22"/>
          <w:szCs w:val="22"/>
        </w:rPr>
        <w:t>Consider annual urine analysis starting at age 25-30</w:t>
      </w:r>
    </w:p>
    <w:p w14:paraId="15E8B768" w14:textId="58569C49" w:rsidR="00775DEF" w:rsidRPr="00BC3B9B" w:rsidRDefault="00775DEF" w:rsidP="00BC3B9B">
      <w:pPr>
        <w:pStyle w:val="ListParagraph"/>
        <w:numPr>
          <w:ilvl w:val="0"/>
          <w:numId w:val="20"/>
        </w:numPr>
        <w:rPr>
          <w:rFonts w:ascii="Times" w:hAnsi="Times"/>
          <w:sz w:val="22"/>
          <w:szCs w:val="22"/>
        </w:rPr>
      </w:pPr>
      <w:r w:rsidRPr="007C6F2C">
        <w:rPr>
          <w:rFonts w:ascii="Times" w:hAnsi="Times"/>
          <w:i/>
          <w:sz w:val="22"/>
          <w:szCs w:val="22"/>
        </w:rPr>
        <w:t>Central Nervous System</w:t>
      </w:r>
      <w:r w:rsidR="00BC3B9B">
        <w:rPr>
          <w:rFonts w:ascii="Times" w:hAnsi="Times"/>
          <w:sz w:val="22"/>
          <w:szCs w:val="22"/>
        </w:rPr>
        <w:t xml:space="preserve">: </w:t>
      </w:r>
      <w:r w:rsidRPr="00BC3B9B">
        <w:rPr>
          <w:rFonts w:ascii="Times" w:hAnsi="Times"/>
          <w:sz w:val="22"/>
          <w:szCs w:val="22"/>
        </w:rPr>
        <w:t>Annual physical/neurological exam starting at age 25-30</w:t>
      </w:r>
    </w:p>
    <w:p w14:paraId="4917D1CF" w14:textId="77777777" w:rsidR="005568C9" w:rsidRPr="00B551DA" w:rsidRDefault="005568C9" w:rsidP="007C4FE0">
      <w:pPr>
        <w:rPr>
          <w:rFonts w:ascii="Times" w:hAnsi="Times"/>
          <w:sz w:val="6"/>
          <w:szCs w:val="6"/>
        </w:rPr>
      </w:pPr>
    </w:p>
    <w:p w14:paraId="09CFA3D3" w14:textId="7DCC889A" w:rsidR="00B641DD" w:rsidRPr="005568C9" w:rsidRDefault="007C4FE0" w:rsidP="007C4FE0">
      <w:pPr>
        <w:rPr>
          <w:rFonts w:ascii="Times" w:hAnsi="Times"/>
          <w:sz w:val="18"/>
          <w:szCs w:val="18"/>
        </w:rPr>
      </w:pPr>
      <w:r w:rsidRPr="005568C9">
        <w:rPr>
          <w:rFonts w:ascii="Times" w:hAnsi="Times"/>
          <w:sz w:val="18"/>
          <w:szCs w:val="18"/>
        </w:rPr>
        <w:t>References</w:t>
      </w:r>
    </w:p>
    <w:p w14:paraId="0059219B" w14:textId="7D7693FA" w:rsidR="007C4FE0" w:rsidRPr="005568C9" w:rsidRDefault="007C4FE0" w:rsidP="005568C9">
      <w:pPr>
        <w:ind w:left="360"/>
        <w:rPr>
          <w:rFonts w:ascii="Times" w:hAnsi="Times"/>
          <w:sz w:val="18"/>
          <w:szCs w:val="18"/>
        </w:rPr>
      </w:pPr>
      <w:r w:rsidRPr="005568C9">
        <w:rPr>
          <w:rFonts w:ascii="Times" w:hAnsi="Times"/>
          <w:sz w:val="18"/>
          <w:szCs w:val="18"/>
        </w:rPr>
        <w:t>1.</w:t>
      </w:r>
      <w:r w:rsidR="00B641DD" w:rsidRPr="005568C9">
        <w:rPr>
          <w:rFonts w:ascii="Times" w:hAnsi="Times"/>
          <w:sz w:val="18"/>
          <w:szCs w:val="18"/>
        </w:rPr>
        <w:t xml:space="preserve"> Evaluation of Genomic Applications in Practice and Prevention (EGAPP) Working Group. Recommendations from the EGAPP Working Group: Genetic testing strategies in newly diagnosed individuals with colorectal cancer aimed at reducing morbidity and mortality from Lynch syndrome in relatives. </w:t>
      </w:r>
      <w:r w:rsidR="00B641DD" w:rsidRPr="005568C9">
        <w:rPr>
          <w:rFonts w:ascii="Times" w:hAnsi="Times"/>
          <w:i/>
          <w:iCs/>
          <w:sz w:val="18"/>
          <w:szCs w:val="18"/>
        </w:rPr>
        <w:t xml:space="preserve">Genetics in Medicine </w:t>
      </w:r>
      <w:r w:rsidR="00B641DD" w:rsidRPr="00F460D3">
        <w:rPr>
          <w:rFonts w:ascii="Times" w:hAnsi="Times"/>
          <w:iCs/>
          <w:sz w:val="18"/>
          <w:szCs w:val="18"/>
        </w:rPr>
        <w:t>2009</w:t>
      </w:r>
      <w:r w:rsidR="00B641DD" w:rsidRPr="005568C9">
        <w:rPr>
          <w:rFonts w:ascii="Times" w:hAnsi="Times"/>
          <w:sz w:val="18"/>
          <w:szCs w:val="18"/>
        </w:rPr>
        <w:t>; 11:35-41.</w:t>
      </w:r>
    </w:p>
    <w:p w14:paraId="2DACDB25" w14:textId="1B8F8F8C" w:rsidR="00B641DD" w:rsidRDefault="007C4FE0" w:rsidP="006D73C3">
      <w:pPr>
        <w:ind w:left="360"/>
        <w:rPr>
          <w:rFonts w:ascii="Times" w:hAnsi="Times"/>
        </w:rPr>
      </w:pPr>
      <w:r w:rsidRPr="005568C9">
        <w:rPr>
          <w:rFonts w:ascii="Times" w:hAnsi="Times"/>
          <w:sz w:val="18"/>
          <w:szCs w:val="18"/>
        </w:rPr>
        <w:t>2.</w:t>
      </w:r>
      <w:r w:rsidR="00B641DD" w:rsidRPr="005568C9">
        <w:rPr>
          <w:rFonts w:ascii="Times" w:hAnsi="Times"/>
          <w:sz w:val="18"/>
          <w:szCs w:val="18"/>
        </w:rPr>
        <w:t xml:space="preserve"> National Comprehensive Cancer Network. NCCN Guidelines Version 2.2014 Genetics/Familial High-Risk Assessment: Colon. MS3-7.</w:t>
      </w:r>
      <w:r w:rsidRPr="00F60490">
        <w:rPr>
          <w:rFonts w:ascii="Times" w:hAnsi="Times"/>
        </w:rPr>
        <w:t xml:space="preserve"> </w:t>
      </w:r>
    </w:p>
    <w:p w14:paraId="06932207" w14:textId="0A8A6C0E" w:rsidR="00E1206C" w:rsidRPr="00E1206C" w:rsidRDefault="00E1206C" w:rsidP="006D73C3">
      <w:pPr>
        <w:ind w:left="360"/>
        <w:rPr>
          <w:rFonts w:ascii="Times" w:hAnsi="Times"/>
          <w:sz w:val="18"/>
          <w:szCs w:val="18"/>
        </w:rPr>
      </w:pPr>
      <w:r w:rsidRPr="00E1206C">
        <w:rPr>
          <w:rFonts w:ascii="Times" w:hAnsi="Times"/>
          <w:sz w:val="18"/>
          <w:szCs w:val="18"/>
        </w:rPr>
        <w:t xml:space="preserve">3. Familial risk-colorectal cancer: ESMO Clinical Practice Guidelines. American Society of Clinical Oncology Clinical Practice Guideline Endorsement of the Familial Risk- Colorectal Cancer: European Society for Medical Oncology Clinical Practice Guidelines. </w:t>
      </w:r>
      <w:r w:rsidRPr="00F460D3">
        <w:rPr>
          <w:rFonts w:ascii="Times" w:hAnsi="Times"/>
          <w:i/>
          <w:sz w:val="18"/>
          <w:szCs w:val="18"/>
        </w:rPr>
        <w:t>Journal of Clinical Oncology</w:t>
      </w:r>
      <w:r w:rsidRPr="00E1206C">
        <w:rPr>
          <w:rFonts w:ascii="Times" w:hAnsi="Times"/>
          <w:sz w:val="18"/>
          <w:szCs w:val="18"/>
        </w:rPr>
        <w:t>. 2014. 58. 1322.</w:t>
      </w:r>
    </w:p>
    <w:sectPr w:rsidR="00E1206C" w:rsidRPr="00E1206C" w:rsidSect="00F60490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2063C" w14:textId="77777777" w:rsidR="00BD4555" w:rsidRDefault="00BD4555" w:rsidP="00226A26">
      <w:r>
        <w:separator/>
      </w:r>
    </w:p>
  </w:endnote>
  <w:endnote w:type="continuationSeparator" w:id="0">
    <w:p w14:paraId="55A11E5F" w14:textId="77777777" w:rsidR="00BD4555" w:rsidRDefault="00BD4555" w:rsidP="0022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CC237" w14:textId="554646E2" w:rsidR="001D4F72" w:rsidRPr="00284394" w:rsidRDefault="001D4F72" w:rsidP="00F60490">
    <w:pPr>
      <w:pStyle w:val="Footer"/>
      <w:rPr>
        <w:rFonts w:ascii="Times" w:hAnsi="Times"/>
        <w:sz w:val="20"/>
        <w:szCs w:val="20"/>
      </w:rPr>
    </w:pPr>
    <w:r w:rsidRPr="00284394">
      <w:rPr>
        <w:rFonts w:ascii="Times" w:hAnsi="Times"/>
        <w:sz w:val="20"/>
        <w:szCs w:val="20"/>
      </w:rPr>
      <w:t xml:space="preserve">Adapted from the </w:t>
    </w:r>
    <w:r>
      <w:rPr>
        <w:rFonts w:ascii="Times" w:hAnsi="Times"/>
        <w:i/>
        <w:sz w:val="20"/>
        <w:szCs w:val="20"/>
      </w:rPr>
      <w:t>Lynch Syndrome</w:t>
    </w:r>
    <w:r w:rsidRPr="00284394">
      <w:rPr>
        <w:rFonts w:ascii="Times" w:hAnsi="Times"/>
        <w:i/>
        <w:sz w:val="20"/>
        <w:szCs w:val="20"/>
      </w:rPr>
      <w:t xml:space="preserve"> Fact Sheet for Connecticut Healthcare Providers</w:t>
    </w:r>
    <w:r w:rsidRPr="00284394">
      <w:rPr>
        <w:rFonts w:ascii="Times" w:hAnsi="Times"/>
        <w:sz w:val="20"/>
        <w:szCs w:val="20"/>
      </w:rPr>
      <w:t xml:space="preserve"> developed in 2012 by the Connecticut Department of Public Health’s Genomics Office in partnership with the Connecticut Tumor Registry, and funded through a Healthy People 2020 Action Project grant.</w:t>
    </w:r>
  </w:p>
  <w:p w14:paraId="62B58AAA" w14:textId="77777777" w:rsidR="001D4F72" w:rsidRDefault="001D4F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72734D" w14:textId="77777777" w:rsidR="00BD4555" w:rsidRDefault="00BD4555" w:rsidP="00226A26">
      <w:r>
        <w:separator/>
      </w:r>
    </w:p>
  </w:footnote>
  <w:footnote w:type="continuationSeparator" w:id="0">
    <w:p w14:paraId="424FEF58" w14:textId="77777777" w:rsidR="00BD4555" w:rsidRDefault="00BD4555" w:rsidP="00226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EA464" w14:textId="777C87FB" w:rsidR="001D4F72" w:rsidRPr="00B44239" w:rsidRDefault="001D4F72" w:rsidP="00226A26">
    <w:pPr>
      <w:pStyle w:val="Header"/>
      <w:jc w:val="right"/>
      <w:rPr>
        <w:rFonts w:ascii="Times" w:hAnsi="Tim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AD69D" w14:textId="71287E26" w:rsidR="001D4F72" w:rsidRPr="0018421B" w:rsidRDefault="001D4F72" w:rsidP="003D4640">
    <w:pPr>
      <w:pStyle w:val="Header"/>
      <w:jc w:val="right"/>
      <w:rPr>
        <w:rFonts w:ascii="Times" w:hAnsi="Tim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52C2"/>
    <w:multiLevelType w:val="hybridMultilevel"/>
    <w:tmpl w:val="4044E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94280"/>
    <w:multiLevelType w:val="hybridMultilevel"/>
    <w:tmpl w:val="80CE0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6539B"/>
    <w:multiLevelType w:val="hybridMultilevel"/>
    <w:tmpl w:val="73725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521E8"/>
    <w:multiLevelType w:val="hybridMultilevel"/>
    <w:tmpl w:val="01C2CB44"/>
    <w:lvl w:ilvl="0" w:tplc="AA5ABC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3E2C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F69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D272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5852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EE8E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0C8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38B4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349B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D745D34"/>
    <w:multiLevelType w:val="hybridMultilevel"/>
    <w:tmpl w:val="CB88A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F62AD"/>
    <w:multiLevelType w:val="hybridMultilevel"/>
    <w:tmpl w:val="80468EE2"/>
    <w:lvl w:ilvl="0" w:tplc="1D8283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3C0896">
      <w:start w:val="259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C6B20C">
      <w:start w:val="259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74E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F0A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1ECC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EC3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86E9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F4B5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644709F"/>
    <w:multiLevelType w:val="hybridMultilevel"/>
    <w:tmpl w:val="C240A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C655DA"/>
    <w:multiLevelType w:val="hybridMultilevel"/>
    <w:tmpl w:val="92126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A7CDF"/>
    <w:multiLevelType w:val="hybridMultilevel"/>
    <w:tmpl w:val="79D8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22216"/>
    <w:multiLevelType w:val="hybridMultilevel"/>
    <w:tmpl w:val="DAD82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F541D"/>
    <w:multiLevelType w:val="hybridMultilevel"/>
    <w:tmpl w:val="41F26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91D29"/>
    <w:multiLevelType w:val="hybridMultilevel"/>
    <w:tmpl w:val="D85A8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926F9"/>
    <w:multiLevelType w:val="hybridMultilevel"/>
    <w:tmpl w:val="AC109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684310"/>
    <w:multiLevelType w:val="hybridMultilevel"/>
    <w:tmpl w:val="1B70F1E8"/>
    <w:lvl w:ilvl="0" w:tplc="DDE89AD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4C2C7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90006C">
      <w:start w:val="10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4CA78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CEED2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7A508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E42B8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30E8B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FEA78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AD74649"/>
    <w:multiLevelType w:val="hybridMultilevel"/>
    <w:tmpl w:val="E9D89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E4B99"/>
    <w:multiLevelType w:val="hybridMultilevel"/>
    <w:tmpl w:val="FE5A7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82EFF"/>
    <w:multiLevelType w:val="hybridMultilevel"/>
    <w:tmpl w:val="64D6D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22BF9"/>
    <w:multiLevelType w:val="hybridMultilevel"/>
    <w:tmpl w:val="59D6B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64475"/>
    <w:multiLevelType w:val="hybridMultilevel"/>
    <w:tmpl w:val="F220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16FED"/>
    <w:multiLevelType w:val="hybridMultilevel"/>
    <w:tmpl w:val="4CAE43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3601C"/>
    <w:multiLevelType w:val="hybridMultilevel"/>
    <w:tmpl w:val="C54EC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3D385C"/>
    <w:multiLevelType w:val="hybridMultilevel"/>
    <w:tmpl w:val="9F62F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9568B"/>
    <w:multiLevelType w:val="hybridMultilevel"/>
    <w:tmpl w:val="9D148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9"/>
  </w:num>
  <w:num w:numId="4">
    <w:abstractNumId w:val="8"/>
  </w:num>
  <w:num w:numId="5">
    <w:abstractNumId w:val="22"/>
  </w:num>
  <w:num w:numId="6">
    <w:abstractNumId w:val="4"/>
  </w:num>
  <w:num w:numId="7">
    <w:abstractNumId w:val="7"/>
  </w:num>
  <w:num w:numId="8">
    <w:abstractNumId w:val="11"/>
  </w:num>
  <w:num w:numId="9">
    <w:abstractNumId w:val="21"/>
  </w:num>
  <w:num w:numId="10">
    <w:abstractNumId w:val="12"/>
  </w:num>
  <w:num w:numId="11">
    <w:abstractNumId w:val="10"/>
  </w:num>
  <w:num w:numId="12">
    <w:abstractNumId w:val="15"/>
  </w:num>
  <w:num w:numId="13">
    <w:abstractNumId w:val="6"/>
  </w:num>
  <w:num w:numId="14">
    <w:abstractNumId w:val="16"/>
  </w:num>
  <w:num w:numId="15">
    <w:abstractNumId w:val="20"/>
  </w:num>
  <w:num w:numId="16">
    <w:abstractNumId w:val="1"/>
  </w:num>
  <w:num w:numId="17">
    <w:abstractNumId w:val="2"/>
  </w:num>
  <w:num w:numId="18">
    <w:abstractNumId w:val="5"/>
  </w:num>
  <w:num w:numId="19">
    <w:abstractNumId w:val="0"/>
  </w:num>
  <w:num w:numId="20">
    <w:abstractNumId w:val="17"/>
  </w:num>
  <w:num w:numId="21">
    <w:abstractNumId w:val="13"/>
  </w:num>
  <w:num w:numId="22">
    <w:abstractNumId w:val="3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A26"/>
    <w:rsid w:val="00035CBC"/>
    <w:rsid w:val="000A5F2C"/>
    <w:rsid w:val="000D4373"/>
    <w:rsid w:val="00172465"/>
    <w:rsid w:val="0018421B"/>
    <w:rsid w:val="001C6125"/>
    <w:rsid w:val="001D4F72"/>
    <w:rsid w:val="00226A26"/>
    <w:rsid w:val="002722F0"/>
    <w:rsid w:val="002A3A13"/>
    <w:rsid w:val="002B6BC3"/>
    <w:rsid w:val="002B766F"/>
    <w:rsid w:val="002D3D8F"/>
    <w:rsid w:val="002E77B5"/>
    <w:rsid w:val="00320229"/>
    <w:rsid w:val="00374F76"/>
    <w:rsid w:val="00385E81"/>
    <w:rsid w:val="00396F7B"/>
    <w:rsid w:val="003A7F61"/>
    <w:rsid w:val="003B45B9"/>
    <w:rsid w:val="003B6580"/>
    <w:rsid w:val="003D4640"/>
    <w:rsid w:val="003F1766"/>
    <w:rsid w:val="004328D6"/>
    <w:rsid w:val="004F4F62"/>
    <w:rsid w:val="005109C7"/>
    <w:rsid w:val="005568C9"/>
    <w:rsid w:val="00622BD6"/>
    <w:rsid w:val="00673EF8"/>
    <w:rsid w:val="0069067D"/>
    <w:rsid w:val="006A0A5A"/>
    <w:rsid w:val="006D73C3"/>
    <w:rsid w:val="006E7CE9"/>
    <w:rsid w:val="00733B73"/>
    <w:rsid w:val="00775DEF"/>
    <w:rsid w:val="00795393"/>
    <w:rsid w:val="007B55DD"/>
    <w:rsid w:val="007C4FE0"/>
    <w:rsid w:val="007C6F2C"/>
    <w:rsid w:val="0080203D"/>
    <w:rsid w:val="00806E84"/>
    <w:rsid w:val="008215A0"/>
    <w:rsid w:val="00830958"/>
    <w:rsid w:val="008374D2"/>
    <w:rsid w:val="008D61A6"/>
    <w:rsid w:val="008F3BCF"/>
    <w:rsid w:val="009002C6"/>
    <w:rsid w:val="00906B74"/>
    <w:rsid w:val="00942487"/>
    <w:rsid w:val="00964924"/>
    <w:rsid w:val="009D2AD9"/>
    <w:rsid w:val="009E6424"/>
    <w:rsid w:val="009F4E4E"/>
    <w:rsid w:val="009F6EFE"/>
    <w:rsid w:val="00A451E5"/>
    <w:rsid w:val="00A62EA0"/>
    <w:rsid w:val="00A81459"/>
    <w:rsid w:val="00AF2667"/>
    <w:rsid w:val="00B21237"/>
    <w:rsid w:val="00B44239"/>
    <w:rsid w:val="00B551DA"/>
    <w:rsid w:val="00B56C9B"/>
    <w:rsid w:val="00B641DD"/>
    <w:rsid w:val="00B80DD7"/>
    <w:rsid w:val="00BC3B9B"/>
    <w:rsid w:val="00BD4555"/>
    <w:rsid w:val="00C451A5"/>
    <w:rsid w:val="00C453F2"/>
    <w:rsid w:val="00C50B29"/>
    <w:rsid w:val="00CA729C"/>
    <w:rsid w:val="00CC5D60"/>
    <w:rsid w:val="00CD05EC"/>
    <w:rsid w:val="00CD7162"/>
    <w:rsid w:val="00D43FA0"/>
    <w:rsid w:val="00D517BF"/>
    <w:rsid w:val="00DE6F43"/>
    <w:rsid w:val="00DE7F29"/>
    <w:rsid w:val="00E1206C"/>
    <w:rsid w:val="00E3012E"/>
    <w:rsid w:val="00E65F2C"/>
    <w:rsid w:val="00ED3E8F"/>
    <w:rsid w:val="00EF78C8"/>
    <w:rsid w:val="00F11BCE"/>
    <w:rsid w:val="00F3637C"/>
    <w:rsid w:val="00F42AC6"/>
    <w:rsid w:val="00F460D3"/>
    <w:rsid w:val="00F60490"/>
    <w:rsid w:val="00F62222"/>
    <w:rsid w:val="00F7666A"/>
    <w:rsid w:val="00FC7E30"/>
    <w:rsid w:val="00FD3C2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AF5840"/>
  <w15:docId w15:val="{20972C47-0913-40B7-BA99-50C52ADE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A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A26"/>
  </w:style>
  <w:style w:type="paragraph" w:styleId="Footer">
    <w:name w:val="footer"/>
    <w:basedOn w:val="Normal"/>
    <w:link w:val="FooterChar"/>
    <w:uiPriority w:val="99"/>
    <w:unhideWhenUsed/>
    <w:rsid w:val="00226A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A26"/>
  </w:style>
  <w:style w:type="paragraph" w:styleId="BalloonText">
    <w:name w:val="Balloon Text"/>
    <w:basedOn w:val="Normal"/>
    <w:link w:val="BalloonTextChar"/>
    <w:uiPriority w:val="99"/>
    <w:semiHidden/>
    <w:unhideWhenUsed/>
    <w:rsid w:val="0080203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03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AF2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266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41D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C5D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1B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1B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B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992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50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2593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287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58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7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273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871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644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81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358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712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42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661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69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09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97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14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47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2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6973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4866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9148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7846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D302C-4547-4BD2-AFB7-3683C9671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Genetic Alliance</Company>
  <LinksUpToDate>false</LinksUpToDate>
  <CharactersWithSpaces>6835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Lynch Syndrome Fact Sheet for Healthcare Professionals</dc:title>
  <dc:creator>OPHG</dc:creator>
  <cp:lastModifiedBy>Wulf, Anja (CDC/OPHSS/CSELS) (CTR)</cp:lastModifiedBy>
  <cp:revision>6</cp:revision>
  <cp:lastPrinted>2015-09-24T17:19:00Z</cp:lastPrinted>
  <dcterms:created xsi:type="dcterms:W3CDTF">2015-12-04T16:51:00Z</dcterms:created>
  <dcterms:modified xsi:type="dcterms:W3CDTF">2016-01-21T17:44:00Z</dcterms:modified>
</cp:coreProperties>
</file>