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70" w:rsidRPr="00671A51" w:rsidRDefault="00671A51" w:rsidP="00671A51">
      <w:pPr>
        <w:spacing w:before="122"/>
        <w:contextualSpacing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noProof/>
          <w:color w:val="231F20"/>
        </w:rPr>
        <mc:AlternateContent>
          <mc:Choice Requires="wps">
            <w:drawing>
              <wp:inline distT="0" distB="0" distL="0" distR="0">
                <wp:extent cx="6256020" cy="389890"/>
                <wp:effectExtent l="0" t="0" r="0" b="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6020" cy="38989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51" w:rsidRDefault="00671A51" w:rsidP="00671A51">
                            <w:pPr>
                              <w:spacing w:before="32"/>
                              <w:ind w:left="89"/>
                              <w:rPr>
                                <w:b/>
                                <w:sz w:val="31"/>
                              </w:rPr>
                            </w:pPr>
                            <w:r w:rsidRPr="00CF5BC5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Sample</w:t>
                            </w:r>
                            <w:r w:rsidRPr="00E365C9">
                              <w:rPr>
                                <w:b/>
                                <w:color w:val="FFFFFF"/>
                                <w:sz w:val="31"/>
                              </w:rPr>
                              <w:t xml:space="preserve"> </w:t>
                            </w:r>
                            <w:r w:rsidRPr="00CF5BC5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Agenda for an After Action Review Meeting</w:t>
                            </w:r>
                          </w:p>
                          <w:p w:rsidR="00671A51" w:rsidRDefault="00671A51" w:rsidP="00671A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492.6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179801,0;76219,0;32317,1691;9756,13532;1219,44825;0,105719;0,284171;1219,345065;9756,376358;32317,388199;76219,389890;6179801,389890;6223703,388199;6246264,376358;6254801,345065;6256020,284171;6256020,105719;6254801,44825;6246264,13532;6223703,1691;6179801,0" o:connectangles="0,0,0,0,0,0,0,0,0,0,0,0,0,0,0,0,0,0,0,0,0" textboxrect="0,0,10260,461"/>
                <v:textbox>
                  <w:txbxContent>
                    <w:p w:rsidR="00671A51" w:rsidRDefault="00671A51" w:rsidP="00671A51">
                      <w:pPr>
                        <w:spacing w:before="32"/>
                        <w:ind w:left="89"/>
                        <w:rPr>
                          <w:b/>
                          <w:sz w:val="31"/>
                        </w:rPr>
                      </w:pPr>
                      <w:r w:rsidRPr="00CF5BC5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Sample</w:t>
                      </w:r>
                      <w:r w:rsidRPr="00E365C9">
                        <w:rPr>
                          <w:b/>
                          <w:color w:val="FFFFFF"/>
                          <w:sz w:val="31"/>
                        </w:rPr>
                        <w:t xml:space="preserve"> </w:t>
                      </w:r>
                      <w:r w:rsidRPr="00CF5BC5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Agenda for an After Action Review Meeting</w:t>
                      </w:r>
                    </w:p>
                    <w:p w:rsidR="00671A51" w:rsidRDefault="00671A51" w:rsidP="00671A5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95C9D" w:rsidRPr="00E95C9D" w:rsidRDefault="00E95C9D" w:rsidP="00077720">
      <w:pPr>
        <w:pStyle w:val="BodyText"/>
        <w:spacing w:before="102" w:line="260" w:lineRule="exact"/>
        <w:ind w:left="120" w:right="503"/>
        <w:rPr>
          <w:rFonts w:ascii="Times New Roman" w:hAnsi="Times New Roman" w:cs="Times New Roman"/>
          <w:b/>
          <w:color w:val="0070C0"/>
        </w:rPr>
      </w:pPr>
      <w:r w:rsidRPr="00E95C9D">
        <w:rPr>
          <w:rFonts w:ascii="Times New Roman" w:hAnsi="Times New Roman" w:cs="Times New Roman"/>
          <w:b/>
          <w:color w:val="0070C0"/>
        </w:rPr>
        <w:t>PURPOSE</w:t>
      </w:r>
    </w:p>
    <w:p w:rsidR="00E95C9D" w:rsidRDefault="00077720" w:rsidP="00E95C9D">
      <w:pPr>
        <w:pStyle w:val="BodyText"/>
        <w:spacing w:before="102" w:after="240" w:line="260" w:lineRule="exact"/>
        <w:ind w:left="120" w:right="503"/>
        <w:rPr>
          <w:rFonts w:ascii="Times New Roman" w:hAnsi="Times New Roman" w:cs="Times New Roman"/>
          <w:color w:val="231F20"/>
        </w:rPr>
      </w:pPr>
      <w:r w:rsidRPr="00CF5BC5">
        <w:rPr>
          <w:rFonts w:ascii="Times New Roman" w:hAnsi="Times New Roman" w:cs="Times New Roman"/>
          <w:color w:val="231F20"/>
        </w:rPr>
        <w:t xml:space="preserve">An After Action Review aims to identify things that could be improved or needed more attention during an emergency incident. Inviting stakeholders to attend a meeting </w:t>
      </w:r>
      <w:r w:rsidR="00D51EA8">
        <w:rPr>
          <w:rFonts w:ascii="Times New Roman" w:hAnsi="Times New Roman" w:cs="Times New Roman"/>
          <w:color w:val="231F20"/>
        </w:rPr>
        <w:t xml:space="preserve">soon </w:t>
      </w:r>
      <w:r w:rsidRPr="00CF5BC5">
        <w:rPr>
          <w:rFonts w:ascii="Times New Roman" w:hAnsi="Times New Roman" w:cs="Times New Roman"/>
          <w:color w:val="231F20"/>
        </w:rPr>
        <w:t xml:space="preserve">after a drinking water advisory </w:t>
      </w:r>
      <w:r w:rsidR="00D51EA8">
        <w:rPr>
          <w:rFonts w:ascii="Times New Roman" w:hAnsi="Times New Roman" w:cs="Times New Roman"/>
          <w:color w:val="231F20"/>
        </w:rPr>
        <w:t>en</w:t>
      </w:r>
      <w:bookmarkStart w:id="0" w:name="_GoBack"/>
      <w:bookmarkEnd w:id="0"/>
      <w:r w:rsidR="00D51EA8">
        <w:rPr>
          <w:rFonts w:ascii="Times New Roman" w:hAnsi="Times New Roman" w:cs="Times New Roman"/>
          <w:color w:val="231F20"/>
        </w:rPr>
        <w:t>ds is crucial to receive</w:t>
      </w:r>
      <w:r w:rsidRPr="00CF5BC5">
        <w:rPr>
          <w:rFonts w:ascii="Times New Roman" w:hAnsi="Times New Roman" w:cs="Times New Roman"/>
          <w:color w:val="231F20"/>
        </w:rPr>
        <w:t xml:space="preserve"> additional feedback and insight in the creation of a comprehensive After Action Review.</w:t>
      </w:r>
    </w:p>
    <w:p w:rsidR="00E95C9D" w:rsidRDefault="00E95C9D" w:rsidP="00E95C9D">
      <w:pPr>
        <w:pStyle w:val="BodyText"/>
        <w:spacing w:before="102" w:line="260" w:lineRule="exact"/>
        <w:ind w:left="120" w:right="503"/>
        <w:rPr>
          <w:rFonts w:ascii="Times New Roman" w:hAnsi="Times New Roman" w:cs="Times New Roman"/>
          <w:b/>
          <w:color w:val="0070C0"/>
        </w:rPr>
      </w:pPr>
      <w:r w:rsidRPr="00E95C9D">
        <w:rPr>
          <w:rFonts w:ascii="Times New Roman" w:hAnsi="Times New Roman" w:cs="Times New Roman"/>
          <w:b/>
          <w:color w:val="0070C0"/>
        </w:rPr>
        <w:t>DIRECTIONS</w:t>
      </w:r>
    </w:p>
    <w:p w:rsidR="00077720" w:rsidRPr="00E95C9D" w:rsidRDefault="00077720" w:rsidP="00E95C9D">
      <w:pPr>
        <w:pStyle w:val="BodyText"/>
        <w:spacing w:before="102" w:line="260" w:lineRule="exact"/>
        <w:ind w:left="120" w:right="503"/>
        <w:rPr>
          <w:rFonts w:ascii="Times New Roman" w:hAnsi="Times New Roman" w:cs="Times New Roman"/>
          <w:b/>
          <w:color w:val="0070C0"/>
        </w:rPr>
      </w:pPr>
      <w:r w:rsidRPr="00CF5BC5">
        <w:rPr>
          <w:rFonts w:ascii="Times New Roman" w:hAnsi="Times New Roman" w:cs="Times New Roman"/>
          <w:color w:val="231F20"/>
        </w:rPr>
        <w:t>Below is a sample agenda for an After Action Review meeting* to help you get started as you consider the challenges your water system, customers, and communities faced during your water advisory.</w:t>
      </w:r>
    </w:p>
    <w:p w:rsidR="008E4B70" w:rsidRPr="00671A51" w:rsidRDefault="00077720" w:rsidP="00671A51">
      <w:pPr>
        <w:pStyle w:val="BodyText"/>
        <w:spacing w:before="137"/>
        <w:ind w:left="120"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6487"/>
        </w:rPr>
        <w:t>.........................</w:t>
      </w:r>
    </w:p>
    <w:p w:rsidR="008E4B70" w:rsidRPr="008E4B70" w:rsidRDefault="008E4B70" w:rsidP="00077720">
      <w:pPr>
        <w:pStyle w:val="ListParagraph"/>
        <w:tabs>
          <w:tab w:val="left" w:pos="480"/>
        </w:tabs>
        <w:spacing w:before="122"/>
        <w:ind w:left="1080" w:firstLine="0"/>
        <w:contextualSpacing/>
        <w:rPr>
          <w:rFonts w:ascii="Times New Roman" w:hAnsi="Times New Roman" w:cs="Times New Roman"/>
        </w:rPr>
      </w:pPr>
    </w:p>
    <w:p w:rsidR="00077720" w:rsidRDefault="00077720" w:rsidP="008E4B70">
      <w:pPr>
        <w:pStyle w:val="ListParagraph"/>
        <w:numPr>
          <w:ilvl w:val="0"/>
          <w:numId w:val="1"/>
        </w:numPr>
        <w:tabs>
          <w:tab w:val="left" w:pos="480"/>
        </w:tabs>
        <w:spacing w:before="122"/>
        <w:contextualSpacing/>
        <w:rPr>
          <w:rFonts w:ascii="Times New Roman" w:hAnsi="Times New Roman" w:cs="Times New Roman"/>
          <w:color w:val="231F20"/>
        </w:rPr>
        <w:sectPr w:rsidR="00077720" w:rsidSect="00077720">
          <w:headerReference w:type="default" r:id="rId8"/>
          <w:footerReference w:type="default" r:id="rId9"/>
          <w:type w:val="continuous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:rsidR="008E4B70" w:rsidRPr="00671A51" w:rsidRDefault="008E4B70" w:rsidP="00671A51">
      <w:pPr>
        <w:pStyle w:val="ListParagraph"/>
        <w:numPr>
          <w:ilvl w:val="0"/>
          <w:numId w:val="1"/>
        </w:numPr>
        <w:tabs>
          <w:tab w:val="left" w:pos="480"/>
        </w:tabs>
        <w:spacing w:before="122"/>
        <w:contextualSpacing/>
        <w:rPr>
          <w:rFonts w:ascii="Times New Roman" w:hAnsi="Times New Roman" w:cs="Times New Roman"/>
        </w:rPr>
      </w:pPr>
      <w:r w:rsidRPr="00671A51">
        <w:rPr>
          <w:rFonts w:ascii="Times New Roman" w:hAnsi="Times New Roman" w:cs="Times New Roman"/>
          <w:color w:val="231F20"/>
        </w:rPr>
        <w:t>Introductions</w:t>
      </w:r>
    </w:p>
    <w:p w:rsidR="008E4B70" w:rsidRPr="00CF5BC5" w:rsidRDefault="008E4B70" w:rsidP="008E4B70">
      <w:pPr>
        <w:pStyle w:val="ListParagraph"/>
        <w:numPr>
          <w:ilvl w:val="0"/>
          <w:numId w:val="1"/>
        </w:numPr>
        <w:tabs>
          <w:tab w:val="left" w:pos="480"/>
        </w:tabs>
        <w:spacing w:before="71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  <w:color w:val="231F20"/>
        </w:rPr>
        <w:t>Main</w:t>
      </w:r>
      <w:r w:rsidRPr="00CF5BC5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CF5BC5">
        <w:rPr>
          <w:rFonts w:ascii="Times New Roman" w:hAnsi="Times New Roman" w:cs="Times New Roman"/>
          <w:color w:val="231F20"/>
        </w:rPr>
        <w:t>Issues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Scale of issue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Resources needed (water supplies for community, distribution channels, staff needs, etc.)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How the meeting discussion will be used to improve processes in the future</w:t>
      </w:r>
    </w:p>
    <w:p w:rsidR="008E4B70" w:rsidRPr="00CF5BC5" w:rsidRDefault="008E4B70" w:rsidP="008E4B70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Coordination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On site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Remote locations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Participant Responsibility</w:t>
      </w:r>
    </w:p>
    <w:p w:rsidR="008E4B70" w:rsidRPr="00CF5BC5" w:rsidRDefault="008E4B70" w:rsidP="008E4B70">
      <w:pPr>
        <w:pStyle w:val="ListParagraph"/>
        <w:widowControl/>
        <w:numPr>
          <w:ilvl w:val="2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As a group</w:t>
      </w:r>
    </w:p>
    <w:p w:rsidR="008E4B70" w:rsidRPr="00CF5BC5" w:rsidRDefault="008E4B70" w:rsidP="008E4B70">
      <w:pPr>
        <w:pStyle w:val="ListParagraph"/>
        <w:widowControl/>
        <w:numPr>
          <w:ilvl w:val="2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Individual Actions</w:t>
      </w:r>
    </w:p>
    <w:p w:rsidR="008E4B70" w:rsidRPr="00CF5BC5" w:rsidRDefault="008E4B70" w:rsidP="008E4B70">
      <w:pPr>
        <w:pStyle w:val="ListParagraph"/>
        <w:widowControl/>
        <w:numPr>
          <w:ilvl w:val="2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Resources</w:t>
      </w:r>
    </w:p>
    <w:p w:rsidR="008E4B70" w:rsidRPr="00CF5BC5" w:rsidRDefault="008E4B70" w:rsidP="008E4B70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Communications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Methods/Channels used</w:t>
      </w:r>
    </w:p>
    <w:p w:rsidR="00077720" w:rsidRPr="00077720" w:rsidRDefault="008E4B70" w:rsidP="00077720">
      <w:pPr>
        <w:pStyle w:val="ListParagraph"/>
        <w:widowControl/>
        <w:numPr>
          <w:ilvl w:val="2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Any System Overloads? (e.g., not enough lines available, staffing constraints, effect on field operations)</w:t>
      </w:r>
    </w:p>
    <w:p w:rsidR="008E4B70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Prioritized messages? Who? Which organizations, businesses, etc.?</w:t>
      </w:r>
    </w:p>
    <w:p w:rsidR="00077720" w:rsidRDefault="00077720" w:rsidP="00077720">
      <w:pPr>
        <w:widowControl/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</w:p>
    <w:p w:rsidR="00077720" w:rsidRDefault="00077720" w:rsidP="00077720">
      <w:pPr>
        <w:widowControl/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</w:p>
    <w:p w:rsidR="00077720" w:rsidRDefault="00077720" w:rsidP="00077720">
      <w:pPr>
        <w:widowControl/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</w:p>
    <w:p w:rsidR="00077720" w:rsidRDefault="00077720" w:rsidP="00077720">
      <w:pPr>
        <w:widowControl/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</w:p>
    <w:p w:rsidR="00077720" w:rsidRPr="00077720" w:rsidRDefault="00077720" w:rsidP="00077720">
      <w:pPr>
        <w:widowControl/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Effectiveness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Audience Reach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Audience Understanding/Comprehension</w:t>
      </w:r>
    </w:p>
    <w:p w:rsidR="00077720" w:rsidRPr="00077720" w:rsidRDefault="008E4B70" w:rsidP="0007772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Messaging Frequency</w:t>
      </w:r>
    </w:p>
    <w:p w:rsidR="008E4B70" w:rsidRPr="00CF5BC5" w:rsidRDefault="008E4B70" w:rsidP="008E4B70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Audience groups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Vulnerable populations</w:t>
      </w:r>
    </w:p>
    <w:p w:rsidR="008E4B70" w:rsidRPr="00CF5BC5" w:rsidRDefault="008E4B70" w:rsidP="008E4B70">
      <w:pPr>
        <w:pStyle w:val="ListParagraph"/>
        <w:widowControl/>
        <w:numPr>
          <w:ilvl w:val="2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Medical conditions</w:t>
      </w:r>
    </w:p>
    <w:p w:rsidR="008E4B70" w:rsidRPr="00CF5BC5" w:rsidRDefault="008E4B70" w:rsidP="008E4B70">
      <w:pPr>
        <w:pStyle w:val="ListParagraph"/>
        <w:widowControl/>
        <w:numPr>
          <w:ilvl w:val="2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Physical challenges</w:t>
      </w:r>
    </w:p>
    <w:p w:rsidR="008E4B70" w:rsidRDefault="008E4B70" w:rsidP="008E4B70">
      <w:pPr>
        <w:pStyle w:val="ListParagraph"/>
        <w:widowControl/>
        <w:numPr>
          <w:ilvl w:val="2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Other issues (homeless, etc.)</w:t>
      </w:r>
    </w:p>
    <w:p w:rsidR="008E4B70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8E4B70">
        <w:rPr>
          <w:rFonts w:ascii="Times New Roman" w:hAnsi="Times New Roman" w:cs="Times New Roman"/>
        </w:rPr>
        <w:t>Employees</w:t>
      </w:r>
    </w:p>
    <w:p w:rsidR="008E4B70" w:rsidRPr="008E4B70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8E4B70">
        <w:rPr>
          <w:rFonts w:ascii="Times New Roman" w:hAnsi="Times New Roman" w:cs="Times New Roman"/>
        </w:rPr>
        <w:t>Communities</w:t>
      </w:r>
    </w:p>
    <w:p w:rsidR="008E4B70" w:rsidRPr="008E4B70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8E4B70">
        <w:rPr>
          <w:rFonts w:ascii="Times New Roman" w:hAnsi="Times New Roman" w:cs="Times New Roman"/>
        </w:rPr>
        <w:t>Transients/travelers</w:t>
      </w:r>
    </w:p>
    <w:p w:rsidR="008E4B70" w:rsidRPr="00CF5BC5" w:rsidRDefault="008E4B70" w:rsidP="008E4B70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Consistent Messaging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Initiating Authority</w:t>
      </w:r>
    </w:p>
    <w:p w:rsidR="008E4B70" w:rsidRPr="008E4B70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Subsequent Communications</w:t>
      </w:r>
    </w:p>
    <w:p w:rsidR="008E4B70" w:rsidRPr="00CF5BC5" w:rsidRDefault="008E4B70" w:rsidP="008E4B70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Emergency Preparedness</w:t>
      </w:r>
    </w:p>
    <w:p w:rsidR="008E4B70" w:rsidRPr="00CF5BC5" w:rsidRDefault="008E4B70" w:rsidP="008E4B70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Outside Regulations</w:t>
      </w:r>
    </w:p>
    <w:p w:rsidR="008E4B70" w:rsidRPr="00CF5BC5" w:rsidRDefault="008E4B70" w:rsidP="008E4B70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Who is responsible for what?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Government</w:t>
      </w:r>
    </w:p>
    <w:p w:rsidR="008E4B70" w:rsidRPr="00CF5BC5" w:rsidRDefault="008E4B70" w:rsidP="008E4B70">
      <w:pPr>
        <w:pStyle w:val="ListParagraph"/>
        <w:widowControl/>
        <w:numPr>
          <w:ilvl w:val="1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Business</w:t>
      </w:r>
    </w:p>
    <w:p w:rsidR="008E4B70" w:rsidRPr="00CF5BC5" w:rsidRDefault="008E4B70" w:rsidP="008E4B70">
      <w:pPr>
        <w:pStyle w:val="ListParagraph"/>
        <w:widowControl/>
        <w:numPr>
          <w:ilvl w:val="0"/>
          <w:numId w:val="1"/>
        </w:numPr>
        <w:autoSpaceDE/>
        <w:autoSpaceDN/>
        <w:spacing w:before="0" w:after="200" w:line="276" w:lineRule="auto"/>
        <w:contextualSpacing/>
        <w:rPr>
          <w:rFonts w:ascii="Times New Roman" w:hAnsi="Times New Roman" w:cs="Times New Roman"/>
        </w:rPr>
      </w:pPr>
      <w:r w:rsidRPr="00CF5BC5">
        <w:rPr>
          <w:rFonts w:ascii="Times New Roman" w:hAnsi="Times New Roman" w:cs="Times New Roman"/>
        </w:rPr>
        <w:t>Action Items</w:t>
      </w:r>
      <w:r>
        <w:rPr>
          <w:rFonts w:ascii="Times New Roman" w:hAnsi="Times New Roman" w:cs="Times New Roman"/>
        </w:rPr>
        <w:t xml:space="preserve"> </w:t>
      </w:r>
    </w:p>
    <w:p w:rsidR="008E4B70" w:rsidRPr="00CF5BC5" w:rsidRDefault="008E4B70" w:rsidP="008E4B70">
      <w:pPr>
        <w:tabs>
          <w:tab w:val="left" w:pos="480"/>
        </w:tabs>
        <w:spacing w:before="138" w:line="260" w:lineRule="exact"/>
        <w:ind w:right="1594"/>
        <w:rPr>
          <w:rFonts w:ascii="Times New Roman" w:hAnsi="Times New Roman" w:cs="Times New Roman"/>
          <w:color w:val="231F20"/>
        </w:rPr>
      </w:pPr>
    </w:p>
    <w:p w:rsidR="008E4B70" w:rsidRPr="00CF5BC5" w:rsidRDefault="008E4B70" w:rsidP="008E4B70">
      <w:pPr>
        <w:tabs>
          <w:tab w:val="left" w:pos="480"/>
        </w:tabs>
        <w:spacing w:before="138" w:line="260" w:lineRule="exact"/>
        <w:ind w:right="1594"/>
        <w:rPr>
          <w:rFonts w:ascii="Times New Roman" w:hAnsi="Times New Roman" w:cs="Times New Roman"/>
          <w:color w:val="231F20"/>
        </w:rPr>
      </w:pPr>
    </w:p>
    <w:p w:rsidR="008E4B70" w:rsidRPr="00CF5BC5" w:rsidRDefault="008E4B70" w:rsidP="008E4B70">
      <w:pPr>
        <w:tabs>
          <w:tab w:val="left" w:pos="480"/>
        </w:tabs>
        <w:spacing w:before="138" w:line="260" w:lineRule="exact"/>
        <w:ind w:right="1594"/>
        <w:rPr>
          <w:rFonts w:ascii="Times New Roman" w:hAnsi="Times New Roman" w:cs="Times New Roman"/>
          <w:color w:val="231F20"/>
        </w:rPr>
      </w:pPr>
    </w:p>
    <w:p w:rsidR="008E4B70" w:rsidRPr="00CF5BC5" w:rsidRDefault="008E4B70" w:rsidP="008E4B70">
      <w:pPr>
        <w:tabs>
          <w:tab w:val="left" w:pos="480"/>
        </w:tabs>
        <w:spacing w:before="138" w:line="260" w:lineRule="exact"/>
        <w:ind w:right="1594"/>
        <w:rPr>
          <w:rFonts w:ascii="Times New Roman" w:hAnsi="Times New Roman" w:cs="Times New Roman"/>
        </w:rPr>
      </w:pPr>
    </w:p>
    <w:sectPr w:rsidR="008E4B70" w:rsidRPr="00CF5BC5" w:rsidSect="00077720">
      <w:headerReference w:type="default" r:id="rId10"/>
      <w:footerReference w:type="default" r:id="rId11"/>
      <w:type w:val="continuous"/>
      <w:pgSz w:w="12240" w:h="15840" w:code="1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81" w:rsidRDefault="00FA6781" w:rsidP="008B5D54">
      <w:r>
        <w:separator/>
      </w:r>
    </w:p>
  </w:endnote>
  <w:endnote w:type="continuationSeparator" w:id="0">
    <w:p w:rsidR="00FA6781" w:rsidRDefault="00FA6781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8D" w:rsidRPr="007D1A8D" w:rsidRDefault="007D1A8D" w:rsidP="007D1A8D">
    <w:pPr>
      <w:ind w:left="120"/>
      <w:rPr>
        <w:rFonts w:ascii="Times New Roman" w:hAnsi="Times New Roman" w:cs="Times New Roman"/>
        <w:b/>
        <w:i/>
        <w:sz w:val="20"/>
      </w:rPr>
    </w:pPr>
    <w:r w:rsidRPr="00CF5BC5">
      <w:rPr>
        <w:rFonts w:ascii="Times New Roman" w:hAnsi="Times New Roman" w:cs="Times New Roman"/>
        <w:b/>
        <w:i/>
        <w:color w:val="00799B"/>
        <w:sz w:val="20"/>
      </w:rPr>
      <w:t xml:space="preserve">*This agenda is based on what that was used after a large-scale boil water advisory incident in </w:t>
    </w:r>
    <w:proofErr w:type="spellStart"/>
    <w:r w:rsidRPr="00CF5BC5">
      <w:rPr>
        <w:rFonts w:ascii="Times New Roman" w:hAnsi="Times New Roman" w:cs="Times New Roman"/>
        <w:b/>
        <w:i/>
        <w:color w:val="00799B"/>
        <w:sz w:val="20"/>
      </w:rPr>
      <w:t>Dekalb</w:t>
    </w:r>
    <w:proofErr w:type="spellEnd"/>
    <w:r w:rsidRPr="00CF5BC5">
      <w:rPr>
        <w:rFonts w:ascii="Times New Roman" w:hAnsi="Times New Roman" w:cs="Times New Roman"/>
        <w:b/>
        <w:i/>
        <w:color w:val="00799B"/>
        <w:sz w:val="20"/>
      </w:rPr>
      <w:t xml:space="preserve"> County, GA in 2015.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8D" w:rsidRDefault="007D1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81" w:rsidRDefault="00FA6781" w:rsidP="008B5D54">
      <w:r>
        <w:separator/>
      </w:r>
    </w:p>
  </w:footnote>
  <w:footnote w:type="continuationSeparator" w:id="0">
    <w:p w:rsidR="00FA6781" w:rsidRDefault="00FA6781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20" w:rsidRPr="009749AB" w:rsidRDefault="00077720" w:rsidP="00077720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9749AB">
      <w:rPr>
        <w:rFonts w:ascii="Times New Roman" w:hAnsi="Times New Roman" w:cs="Times New Roman"/>
        <w:color w:val="006487"/>
        <w:sz w:val="20"/>
        <w:szCs w:val="20"/>
      </w:rPr>
      <w:t>D</w:t>
    </w:r>
    <w:r w:rsidRPr="009749AB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9749AB">
      <w:rPr>
        <w:rFonts w:ascii="Times New Roman" w:hAnsi="Times New Roman" w:cs="Times New Roman"/>
        <w:color w:val="006487"/>
        <w:sz w:val="20"/>
        <w:szCs w:val="20"/>
      </w:rPr>
      <w:t>in</w:t>
    </w:r>
    <w:r w:rsidRPr="009749AB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9749AB">
      <w:rPr>
        <w:rFonts w:ascii="Times New Roman" w:hAnsi="Times New Roman" w:cs="Times New Roman"/>
        <w:color w:val="006487"/>
        <w:sz w:val="20"/>
        <w:szCs w:val="20"/>
      </w:rPr>
      <w:t>ing</w:t>
    </w:r>
    <w:r w:rsidRPr="009749AB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9749AB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9749AB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9749AB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9749AB">
      <w:rPr>
        <w:rFonts w:ascii="Times New Roman" w:hAnsi="Times New Roman" w:cs="Times New Roman"/>
        <w:color w:val="006487"/>
        <w:sz w:val="20"/>
        <w:szCs w:val="20"/>
      </w:rPr>
      <w:t>dviso</w:t>
    </w:r>
    <w:r w:rsidRPr="009749AB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9749AB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9749AB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9749AB">
      <w:rPr>
        <w:rFonts w:ascii="Times New Roman" w:hAnsi="Times New Roman" w:cs="Times New Roman"/>
        <w:color w:val="006487"/>
        <w:sz w:val="20"/>
        <w:szCs w:val="20"/>
      </w:rPr>
      <w:t>ommunic</w:t>
    </w:r>
    <w:r w:rsidRPr="009749AB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9749AB">
      <w:rPr>
        <w:rFonts w:ascii="Times New Roman" w:hAnsi="Times New Roman" w:cs="Times New Roman"/>
        <w:color w:val="006487"/>
        <w:sz w:val="20"/>
        <w:szCs w:val="20"/>
      </w:rPr>
      <w:t>tion</w:t>
    </w:r>
    <w:r w:rsidRPr="009749AB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9749AB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9749AB">
      <w:rPr>
        <w:rFonts w:ascii="Times New Roman" w:hAnsi="Times New Roman" w:cs="Times New Roman"/>
        <w:color w:val="006487"/>
        <w:sz w:val="20"/>
        <w:szCs w:val="20"/>
      </w:rPr>
      <w:t>oolb</w:t>
    </w:r>
    <w:r w:rsidRPr="009749AB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9749AB">
      <w:rPr>
        <w:rFonts w:ascii="Times New Roman" w:hAnsi="Times New Roman" w:cs="Times New Roman"/>
        <w:color w:val="006487"/>
        <w:sz w:val="20"/>
        <w:szCs w:val="20"/>
      </w:rPr>
      <w:t>x</w:t>
    </w:r>
  </w:p>
  <w:p w:rsidR="00077720" w:rsidRDefault="00077720" w:rsidP="00077720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9749AB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9749AB">
      <w:rPr>
        <w:rFonts w:ascii="Times New Roman" w:hAnsi="Times New Roman" w:cs="Times New Roman"/>
        <w:color w:val="006487"/>
        <w:sz w:val="20"/>
        <w:szCs w:val="20"/>
      </w:rPr>
      <w:t>e</w:t>
    </w:r>
    <w:r w:rsidRPr="009749AB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9749AB">
      <w:rPr>
        <w:rFonts w:ascii="Times New Roman" w:hAnsi="Times New Roman" w:cs="Times New Roman"/>
        <w:color w:val="006487"/>
        <w:sz w:val="20"/>
        <w:szCs w:val="20"/>
      </w:rPr>
      <w:t>tion 3.</w:t>
    </w:r>
    <w:r w:rsidRPr="009749AB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9749AB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9749AB">
      <w:rPr>
        <w:rFonts w:ascii="Times New Roman" w:hAnsi="Times New Roman" w:cs="Times New Roman"/>
        <w:color w:val="006487"/>
        <w:sz w:val="20"/>
        <w:szCs w:val="20"/>
      </w:rPr>
      <w:t>ools &amp;</w:t>
    </w:r>
    <w:r w:rsidRPr="009749AB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9749AB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9749AB">
      <w:rPr>
        <w:rFonts w:ascii="Times New Roman" w:hAnsi="Times New Roman" w:cs="Times New Roman"/>
        <w:color w:val="006487"/>
        <w:sz w:val="20"/>
        <w:szCs w:val="20"/>
      </w:rPr>
      <w:t>empl</w:t>
    </w:r>
    <w:r w:rsidRPr="009749AB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9749AB">
      <w:rPr>
        <w:rFonts w:ascii="Times New Roman" w:hAnsi="Times New Roman" w:cs="Times New Roman"/>
        <w:color w:val="006487"/>
        <w:sz w:val="20"/>
        <w:szCs w:val="20"/>
      </w:rPr>
      <w:t xml:space="preserve">es: </w:t>
    </w:r>
    <w:r w:rsidRPr="009749AB">
      <w:rPr>
        <w:rFonts w:ascii="Times New Roman" w:hAnsi="Times New Roman" w:cs="Times New Roman"/>
        <w:color w:val="006487"/>
        <w:spacing w:val="1"/>
        <w:sz w:val="20"/>
        <w:szCs w:val="20"/>
      </w:rPr>
      <w:t xml:space="preserve">After an Incident: </w:t>
    </w:r>
    <w:r w:rsidRPr="009749AB">
      <w:rPr>
        <w:rFonts w:ascii="Times New Roman" w:hAnsi="Times New Roman" w:cs="Times New Roman"/>
        <w:b/>
        <w:color w:val="006487"/>
        <w:spacing w:val="1"/>
        <w:sz w:val="20"/>
        <w:szCs w:val="20"/>
      </w:rPr>
      <w:t>Sample Agenda for an After Action Review Meeting</w:t>
    </w:r>
  </w:p>
  <w:p w:rsidR="00077720" w:rsidRDefault="00077720" w:rsidP="00077720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</w:p>
  <w:p w:rsidR="008B5D54" w:rsidRDefault="008B5D54">
    <w:pPr>
      <w:pStyle w:val="Header"/>
    </w:pPr>
  </w:p>
  <w:p w:rsidR="00E95C9D" w:rsidRDefault="00E95C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A8D" w:rsidRDefault="007D1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61A1F"/>
    <w:multiLevelType w:val="hybridMultilevel"/>
    <w:tmpl w:val="E206C194"/>
    <w:lvl w:ilvl="0" w:tplc="E09A10AC">
      <w:start w:val="1"/>
      <w:numFmt w:val="decimal"/>
      <w:lvlText w:val="%1."/>
      <w:lvlJc w:val="left"/>
      <w:pPr>
        <w:ind w:left="455" w:hanging="360"/>
      </w:pPr>
      <w:rPr>
        <w:rFonts w:ascii="Times New Roman" w:eastAsia="Myriad Pro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2" w:tplc="0E509498">
      <w:start w:val="1"/>
      <w:numFmt w:val="bullet"/>
      <w:lvlText w:val=""/>
      <w:lvlJc w:val="left"/>
      <w:pPr>
        <w:ind w:left="1895" w:hanging="360"/>
      </w:pPr>
      <w:rPr>
        <w:rFonts w:ascii="Symbol" w:hAnsi="Symbol" w:hint="default"/>
        <w:sz w:val="18"/>
        <w:szCs w:val="18"/>
      </w:rPr>
    </w:lvl>
    <w:lvl w:ilvl="3" w:tplc="04090001">
      <w:start w:val="1"/>
      <w:numFmt w:val="bullet"/>
      <w:lvlText w:val=""/>
      <w:lvlJc w:val="left"/>
      <w:pPr>
        <w:ind w:left="2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70"/>
    <w:rsid w:val="00077720"/>
    <w:rsid w:val="00504E08"/>
    <w:rsid w:val="00671A51"/>
    <w:rsid w:val="006C6578"/>
    <w:rsid w:val="007D1A8D"/>
    <w:rsid w:val="008B5D54"/>
    <w:rsid w:val="008E4B70"/>
    <w:rsid w:val="009D42A8"/>
    <w:rsid w:val="00B55735"/>
    <w:rsid w:val="00B608AC"/>
    <w:rsid w:val="00D51EA8"/>
    <w:rsid w:val="00D94FC8"/>
    <w:rsid w:val="00DC57CC"/>
    <w:rsid w:val="00E95C9D"/>
    <w:rsid w:val="00FA6781"/>
    <w:rsid w:val="00F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9678B-9B37-490A-A44C-4CA490FE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4B7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BodyText">
    <w:name w:val="Body Text"/>
    <w:basedOn w:val="Normal"/>
    <w:link w:val="BodyTextChar"/>
    <w:uiPriority w:val="1"/>
    <w:qFormat/>
    <w:rsid w:val="008E4B70"/>
  </w:style>
  <w:style w:type="character" w:customStyle="1" w:styleId="BodyTextChar">
    <w:name w:val="Body Text Char"/>
    <w:basedOn w:val="DefaultParagraphFont"/>
    <w:link w:val="BodyText"/>
    <w:uiPriority w:val="1"/>
    <w:rsid w:val="008E4B70"/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1"/>
    <w:qFormat/>
    <w:rsid w:val="008E4B70"/>
    <w:pPr>
      <w:spacing w:before="86"/>
      <w:ind w:left="480" w:hanging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EA3A8-A157-469F-BF39-D2EDA012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Hough, Catherine O. (CDC/OID/NCEZID) (CTR)</dc:creator>
  <cp:keywords/>
  <dc:description/>
  <cp:lastModifiedBy>Kennon, Jonathan (CDC/OID/NCEZID)</cp:lastModifiedBy>
  <cp:revision>7</cp:revision>
  <dcterms:created xsi:type="dcterms:W3CDTF">2017-03-01T16:15:00Z</dcterms:created>
  <dcterms:modified xsi:type="dcterms:W3CDTF">2017-03-29T17:40:00Z</dcterms:modified>
</cp:coreProperties>
</file>