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5C" w:rsidRPr="00D7065C" w:rsidRDefault="00D7065C" w:rsidP="00D7065C">
      <w:pPr>
        <w:pStyle w:val="Heading1"/>
        <w:rPr>
          <w:rFonts w:eastAsia="Times New Roman"/>
          <w:color w:val="auto"/>
          <w:sz w:val="40"/>
          <w:szCs w:val="40"/>
        </w:rPr>
      </w:pPr>
      <w:bookmarkStart w:id="0" w:name="_GoBack"/>
      <w:bookmarkEnd w:id="0"/>
      <w:r w:rsidRPr="00D7065C">
        <w:rPr>
          <w:rFonts w:eastAsia="Times New Roman"/>
          <w:color w:val="auto"/>
          <w:sz w:val="40"/>
          <w:szCs w:val="40"/>
        </w:rPr>
        <w:t>APPENDIX</w:t>
      </w:r>
    </w:p>
    <w:p w:rsidR="00D7065C" w:rsidRPr="00D7065C" w:rsidRDefault="00D7065C" w:rsidP="00D7065C"/>
    <w:p w:rsidR="00521181" w:rsidRPr="00D7065C" w:rsidRDefault="00521181" w:rsidP="00D7065C">
      <w:pPr>
        <w:pStyle w:val="Heading2"/>
        <w:rPr>
          <w:rFonts w:eastAsia="Times New Roman"/>
          <w:color w:val="auto"/>
        </w:rPr>
      </w:pPr>
      <w:r w:rsidRPr="00D7065C">
        <w:rPr>
          <w:rFonts w:eastAsia="Times New Roman"/>
          <w:color w:val="auto"/>
        </w:rPr>
        <w:t xml:space="preserve">Appendix Table A1:  Highly Successful Patient Satisfaction Outcomes for Programs Treating </w:t>
      </w:r>
      <w:r w:rsidR="00B61D8D" w:rsidRPr="00D7065C">
        <w:rPr>
          <w:rFonts w:eastAsia="Times New Roman"/>
          <w:color w:val="auto"/>
        </w:rPr>
        <w:t>High Cost High Needs People (N=3</w:t>
      </w:r>
      <w:r w:rsidRPr="00D7065C">
        <w:rPr>
          <w:rFonts w:eastAsia="Times New Roman"/>
          <w:color w:val="auto"/>
        </w:rPr>
        <w:t>)</w:t>
      </w:r>
    </w:p>
    <w:tbl>
      <w:tblPr>
        <w:tblW w:w="12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5199"/>
        <w:gridCol w:w="1016"/>
        <w:gridCol w:w="1783"/>
        <w:gridCol w:w="1260"/>
        <w:gridCol w:w="1710"/>
      </w:tblGrid>
      <w:tr w:rsidR="00844F78" w:rsidRPr="00EB1BB7" w:rsidTr="00844F78">
        <w:trPr>
          <w:trHeight w:val="300"/>
          <w:tblHeader/>
        </w:trPr>
        <w:tc>
          <w:tcPr>
            <w:tcW w:w="1641" w:type="dxa"/>
            <w:vMerge w:val="restart"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Study, Year</w:t>
            </w:r>
          </w:p>
        </w:tc>
        <w:tc>
          <w:tcPr>
            <w:tcW w:w="5199" w:type="dxa"/>
            <w:vMerge w:val="restart"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Patient Satisfaction Outcomes</w:t>
            </w:r>
          </w:p>
        </w:tc>
        <w:tc>
          <w:tcPr>
            <w:tcW w:w="2799" w:type="dxa"/>
            <w:gridSpan w:val="2"/>
            <w:shd w:val="clear" w:color="auto" w:fill="auto"/>
            <w:noWrap/>
            <w:hideMark/>
          </w:tcPr>
          <w:p w:rsidR="00844F78" w:rsidRPr="00EB1BB7" w:rsidRDefault="00844F78" w:rsidP="00446C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Reported Outcome at End of Follow-Up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Statistical Measure of Effect</w:t>
            </w:r>
          </w:p>
        </w:tc>
        <w:tc>
          <w:tcPr>
            <w:tcW w:w="1710" w:type="dxa"/>
            <w:vMerge w:val="restart"/>
            <w:shd w:val="clear" w:color="auto" w:fill="auto"/>
            <w:noWrap/>
            <w:hideMark/>
          </w:tcPr>
          <w:p w:rsidR="00844F78" w:rsidRPr="00EB1BB7" w:rsidRDefault="0082452A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Test of Significance</w:t>
            </w:r>
          </w:p>
        </w:tc>
      </w:tr>
      <w:tr w:rsidR="00844F78" w:rsidRPr="00EB1BB7" w:rsidTr="00844F78">
        <w:trPr>
          <w:trHeight w:val="593"/>
          <w:tblHeader/>
        </w:trPr>
        <w:tc>
          <w:tcPr>
            <w:tcW w:w="1641" w:type="dxa"/>
            <w:vMerge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vMerge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Intervention Group</w:t>
            </w:r>
          </w:p>
        </w:tc>
        <w:tc>
          <w:tcPr>
            <w:tcW w:w="1260" w:type="dxa"/>
            <w:vMerge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auto"/>
            <w:noWrap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Friedman,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2009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improved health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3.45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t=2.24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satisfaction with nurse tool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3.38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t=2.26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satisfaction with nurse relationship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4.21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t=2.73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satisfaction with primary care provider/health provider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3.56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t=2.32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general satisfaction with nurse intervention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3.72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t=3.9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Patient satisfaction with primary care partnership meeting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t=3.24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Caregiver satisfaction with primary care provider/health provider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t=1.87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p&lt;.1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Caregiver satisfaction with nurse help to reduce caregiver stress 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t=2.17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.05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Gellis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SF-36 subscale general health(mean)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48.4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F=3.91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.016</w:t>
            </w:r>
          </w:p>
        </w:tc>
      </w:tr>
      <w:tr w:rsidR="00521181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SF-36 subscale social functioning(mean)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783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56.3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F=3.64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 .014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Luptak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Overall positive response to device (%)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79.3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Did not have difficulty with device (%)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94.6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Likely to very likely to continue to use device (%)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Satisfied to very satisfied with device (%)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Easy to very easy to use device (%) 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96.8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641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9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Improved communication between themselves and primary health care provider (%)</w:t>
            </w:r>
          </w:p>
        </w:tc>
        <w:tc>
          <w:tcPr>
            <w:tcW w:w="1016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49.5</w:t>
            </w:r>
          </w:p>
        </w:tc>
        <w:tc>
          <w:tcPr>
            <w:tcW w:w="126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844F78" w:rsidRPr="00EB1BB7" w:rsidTr="00844F78">
        <w:trPr>
          <w:trHeight w:val="300"/>
        </w:trPr>
        <w:tc>
          <w:tcPr>
            <w:tcW w:w="12609" w:type="dxa"/>
            <w:gridSpan w:val="6"/>
            <w:shd w:val="clear" w:color="auto" w:fill="auto"/>
            <w:noWrap/>
            <w:vAlign w:val="bottom"/>
            <w:hideMark/>
          </w:tcPr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  <w:proofErr w:type="spellEnd"/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control group in this study. Values under “Control” represent 10 month follow-up and those under “Intervention” represent 20 month follow-up</w:t>
            </w:r>
          </w:p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 difference between control and intervention groups was not found. Values under “Control” represent baseline data for the intervention and values under “Intervention: represent 3 month follow-up outcomes.</w:t>
            </w:r>
          </w:p>
          <w:p w:rsidR="00844F78" w:rsidRPr="00EB1BB7" w:rsidRDefault="00844F78" w:rsidP="00446C3A">
            <w:pPr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NR= not reported; NA=not applicable; SF-36= Medical Outcomes Study of Health Related Quality of Life; AOR= Adjusted odds ratio; CE=Coefficient estimate</w:t>
            </w:r>
          </w:p>
          <w:p w:rsidR="00844F78" w:rsidRPr="00EB1BB7" w:rsidRDefault="00844F78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Control represent baseline data for the intervention group and the intervention group represents outcomes at 12 months. </w:t>
            </w:r>
          </w:p>
        </w:tc>
      </w:tr>
    </w:tbl>
    <w:p w:rsidR="00521181" w:rsidRDefault="00521181" w:rsidP="00521181">
      <w:pPr>
        <w:rPr>
          <w:rFonts w:ascii="Arial" w:hAnsi="Arial" w:cs="Arial"/>
        </w:rPr>
        <w:sectPr w:rsidR="00521181" w:rsidSect="00446C3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21181" w:rsidRPr="00D7065C" w:rsidRDefault="00521181" w:rsidP="00D7065C">
      <w:pPr>
        <w:pStyle w:val="Heading2"/>
        <w:rPr>
          <w:color w:val="auto"/>
        </w:rPr>
      </w:pPr>
      <w:r w:rsidRPr="00D7065C">
        <w:rPr>
          <w:rFonts w:eastAsia="Times New Roman"/>
          <w:color w:val="auto"/>
        </w:rPr>
        <w:lastRenderedPageBreak/>
        <w:t>Appendix Table A2: Highly Successful Clinical Outcomes for Programs Treating High Cost High Needs People (N=1</w:t>
      </w:r>
      <w:r w:rsidR="00B61D8D" w:rsidRPr="00D7065C">
        <w:rPr>
          <w:rFonts w:eastAsia="Times New Roman"/>
          <w:color w:val="auto"/>
        </w:rPr>
        <w:t>4</w:t>
      </w:r>
      <w:r w:rsidRPr="00D7065C">
        <w:rPr>
          <w:rFonts w:eastAsia="Times New Roman"/>
          <w:color w:val="auto"/>
        </w:rPr>
        <w:t>)</w:t>
      </w:r>
    </w:p>
    <w:tbl>
      <w:tblPr>
        <w:tblW w:w="13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4195"/>
        <w:gridCol w:w="1016"/>
        <w:gridCol w:w="1496"/>
        <w:gridCol w:w="1496"/>
        <w:gridCol w:w="1230"/>
        <w:gridCol w:w="1625"/>
      </w:tblGrid>
      <w:tr w:rsidR="000F0FB5" w:rsidRPr="00EB1BB7" w:rsidTr="00C168BE">
        <w:trPr>
          <w:trHeight w:val="300"/>
          <w:tblHeader/>
        </w:trPr>
        <w:tc>
          <w:tcPr>
            <w:tcW w:w="1952" w:type="dxa"/>
            <w:vMerge w:val="restart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Study, Year</w:t>
            </w:r>
          </w:p>
        </w:tc>
        <w:tc>
          <w:tcPr>
            <w:tcW w:w="4195" w:type="dxa"/>
            <w:vMerge w:val="restart"/>
            <w:shd w:val="clear" w:color="auto" w:fill="auto"/>
            <w:noWrap/>
            <w:hideMark/>
          </w:tcPr>
          <w:p w:rsidR="000F0FB5" w:rsidRPr="00EB1BB7" w:rsidRDefault="000F0FB5" w:rsidP="00446C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Clinical Outcomes</w:t>
            </w:r>
          </w:p>
        </w:tc>
        <w:tc>
          <w:tcPr>
            <w:tcW w:w="2512" w:type="dxa"/>
            <w:gridSpan w:val="2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Reported Outcome at End of Follow-Up</w:t>
            </w:r>
          </w:p>
        </w:tc>
        <w:tc>
          <w:tcPr>
            <w:tcW w:w="1496" w:type="dxa"/>
            <w:vMerge w:val="restart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Intervention Group</w:t>
            </w:r>
          </w:p>
        </w:tc>
        <w:tc>
          <w:tcPr>
            <w:tcW w:w="1230" w:type="dxa"/>
            <w:vMerge w:val="restart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Statistical Measure of Effect</w:t>
            </w:r>
          </w:p>
        </w:tc>
        <w:tc>
          <w:tcPr>
            <w:tcW w:w="1625" w:type="dxa"/>
            <w:vMerge w:val="restart"/>
            <w:shd w:val="clear" w:color="auto" w:fill="auto"/>
            <w:noWrap/>
            <w:hideMark/>
          </w:tcPr>
          <w:p w:rsidR="000F0FB5" w:rsidRPr="00EB1BB7" w:rsidRDefault="0082452A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Test of Significance</w:t>
            </w:r>
          </w:p>
        </w:tc>
      </w:tr>
      <w:tr w:rsidR="000F0FB5" w:rsidRPr="00EB1BB7" w:rsidTr="00C168BE">
        <w:trPr>
          <w:trHeight w:val="300"/>
          <w:tblHeader/>
        </w:trPr>
        <w:tc>
          <w:tcPr>
            <w:tcW w:w="1952" w:type="dxa"/>
            <w:vMerge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vMerge/>
            <w:shd w:val="clear" w:color="auto" w:fill="auto"/>
            <w:noWrap/>
            <w:hideMark/>
          </w:tcPr>
          <w:p w:rsidR="000F0FB5" w:rsidRPr="00EB1BB7" w:rsidRDefault="000F0FB5" w:rsidP="00446C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Intervention Group</w:t>
            </w:r>
          </w:p>
        </w:tc>
        <w:tc>
          <w:tcPr>
            <w:tcW w:w="1496" w:type="dxa"/>
            <w:vMerge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vMerge/>
            <w:shd w:val="clear" w:color="auto" w:fill="auto"/>
            <w:noWrap/>
            <w:hideMark/>
          </w:tcPr>
          <w:p w:rsidR="000F0FB5" w:rsidRPr="00EB1BB7" w:rsidRDefault="000F0FB5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A65B22" w:rsidRPr="00A65B22" w:rsidRDefault="00A65B22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5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Alexopoulous</w:t>
            </w:r>
            <w:proofErr w:type="spellEnd"/>
            <w:r w:rsidRPr="00A65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2011</w:t>
            </w:r>
          </w:p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A65B22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5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12-item World Health Organization Disability Assessment Schedule II (WHODAS II) week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</w:t>
            </w:r>
            <w:r w:rsidRPr="00A65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to 36</w:t>
            </w:r>
            <w:r w:rsidRPr="00A65B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(disability during treatment)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-2.14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t=-2.46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A65B2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Blank, 2011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Difference on the log of viral load at 12 months compared to baseline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-.361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t=1.30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Comart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 (effect estimate difference per quarter of control vs. intervention group)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-.11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p=.031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Delirium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-.05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p=.440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Falls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p=.374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p=.341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Skin ulcers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-.07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p=.322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Shortness of breath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-.11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p=.141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Weight loss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p=.720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Number of medications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-.09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p=.213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Physician orders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-.16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p=.130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Hospitalizations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-.08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p=.363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 visits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-.92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Composite of all outcomes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-.27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Gellis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 Post-treatment(mean PHQ-9 score)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14.9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p&lt;.008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 Baseline(mean PHQ-9 score)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Hemoglobin A1c change from baseline at 3 months(mean)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-0.44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F=3.47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p=.03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Hemoglobin A1c change from baseline at 12 months(mean)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-0.17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-0.19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F=.43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p=.65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Systolic blood pressure change from baseline to 12 months(mean scale)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-4.92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F=3.84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Gutgsell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Pain(NRS mean score) Pre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6.41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6.69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Pain(NRS mean score) Post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5.86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4.74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Pain(FPS 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2.38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p&lt;.0001</w:t>
            </w:r>
          </w:p>
        </w:tc>
      </w:tr>
      <w:tr w:rsidR="00521181" w:rsidRPr="00EB1BB7" w:rsidTr="00C168BE">
        <w:trPr>
          <w:trHeight w:val="324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Pain(FPS mean)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21181" w:rsidRPr="00EB1BB7" w:rsidTr="00C168BE">
        <w:trPr>
          <w:trHeight w:val="288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Jerant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2009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Illness Management Self-efficacy Score at 6 weeks (mean)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Illness Management Self-efficacy Score at 6 months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p=.04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Illness Management Self-efficacy Score at 1 year(mean)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Physical component summary score (PCS-36) at 6 weeks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34.9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36.3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PCS-36 at 6 months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PCS-36 at 1 year (mean)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37.0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36.4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Mental component summary score (MCS-36) at 6 weeks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MCS at 6 months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MCS at 1 year (mean)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51.2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Kuo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Functional Status RII (Child Functioning Scale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76.6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p=.76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Impact on family: Social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26.0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p=.06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Impact on family: Personal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14.7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p=.84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Parent Support Scale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p=.13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SF-12 Health-Related Quality of Life, physical subscale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49.1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SF-12 Health-Related Quality of Life, mental subscale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45.5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p=.92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Kiosses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2011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Depression(change in HDRS-24 score at 12 weeks)- Mr. X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-14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Depression(change in HDRS-24 score at 12 weeks)- Mrs. Y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Disability(change in SDS score at 12 weeks)- Mr. X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Disability(change in SDS score at 12 weeks)- Mrs. Y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Li,</w:t>
            </w:r>
            <w:r w:rsidR="00AF308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8203" w:type="dxa"/>
            <w:gridSpan w:val="4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ADL shopping preparation(mean subscale)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AOR=.33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p=.02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203" w:type="dxa"/>
            <w:gridSpan w:val="4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ADL meal preparation(mean subscale)</w:t>
            </w: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AOR=.55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p=.08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Moggi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Abstinence from drugs and alcohol (% yes)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34.8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F=.84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Substance use problems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15.2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F=5.05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p&lt;.05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Emotional distress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7.9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F=19.88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Psychotic symptoms 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5.8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11.5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F=11.29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Ornstein,2013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Pain(% symptom free)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p&lt;.05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Depression(% symptom free)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57.58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&lt;.05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Anxiety(% symptom free)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58.6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59.3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&lt;.05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Tiredness(% symptom free)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45.1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47.5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&lt;.05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Petry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Duration of drug abstinence(weeks)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F=4.22</w:t>
            </w: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p=.04</w:t>
            </w:r>
          </w:p>
        </w:tc>
      </w:tr>
      <w:tr w:rsidR="008B715D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Unexcused abstinences</w:t>
            </w:r>
          </w:p>
        </w:tc>
        <w:tc>
          <w:tcPr>
            <w:tcW w:w="101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  <w:hideMark/>
          </w:tcPr>
          <w:p w:rsidR="008B715D" w:rsidRPr="00EB1BB7" w:rsidRDefault="008B715D" w:rsidP="00A47CD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p&lt;.002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Wakefield, 2011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Hemoglobin A1c change from baseline at 6 months(mean)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-0.07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-0.4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-0.44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F=3.47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p=.03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Hemoglobin A1c change from baseline at 12 months(mean)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-0.33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-0.17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-0.19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F=.43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p=.65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Systolic blood pressure change from baseline to 12 months(mean scale)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3.34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0.76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-4.92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F=3.84</w:t>
            </w: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p=.02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Wakefield, 2012</w:t>
            </w: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Self-efficacy scores from baseline at 6 months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7.7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p=.09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Self-efficacy scores from baseline at 12 months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7.8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p=.19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Medication-taking adherence from baseline at 6 months 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99.6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99.8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99.6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p=.79</w:t>
            </w:r>
          </w:p>
        </w:tc>
      </w:tr>
      <w:tr w:rsidR="00521181" w:rsidRPr="00EB1BB7" w:rsidTr="00C168BE">
        <w:trPr>
          <w:trHeight w:val="300"/>
        </w:trPr>
        <w:tc>
          <w:tcPr>
            <w:tcW w:w="1952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Medication-taking adherence from baseline at 12 months</w:t>
            </w:r>
          </w:p>
        </w:tc>
        <w:tc>
          <w:tcPr>
            <w:tcW w:w="101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98.9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99.7</w:t>
            </w:r>
          </w:p>
        </w:tc>
        <w:tc>
          <w:tcPr>
            <w:tcW w:w="1496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f</w:t>
            </w:r>
          </w:p>
        </w:tc>
        <w:tc>
          <w:tcPr>
            <w:tcW w:w="1230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5" w:type="dxa"/>
            <w:shd w:val="clear" w:color="auto" w:fill="auto"/>
            <w:noWrap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p=.20</w:t>
            </w:r>
          </w:p>
        </w:tc>
      </w:tr>
      <w:tr w:rsidR="00521181" w:rsidRPr="00EB1BB7" w:rsidTr="00C168BE">
        <w:trPr>
          <w:trHeight w:val="728"/>
        </w:trPr>
        <w:tc>
          <w:tcPr>
            <w:tcW w:w="13010" w:type="dxa"/>
            <w:gridSpan w:val="7"/>
            <w:shd w:val="clear" w:color="auto" w:fill="auto"/>
            <w:noWrap/>
            <w:hideMark/>
          </w:tcPr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Article</w:t>
            </w:r>
            <w:proofErr w:type="spellEnd"/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reported intervention effects on 2 patients. Statistical tests not appropriate.</w:t>
            </w:r>
          </w:p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b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No</w:t>
            </w:r>
            <w:proofErr w:type="spellEnd"/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control group in this study. Values under “Control” represent 10 month follow-up and those under “Intervention” represent 20 month follow-up</w:t>
            </w:r>
          </w:p>
          <w:p w:rsidR="00521181" w:rsidRPr="00EB1BB7" w:rsidRDefault="00521181" w:rsidP="00446C3A">
            <w:pPr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NR= not reported; NA=not applicable; PHQ-9= Patient Health Questionnaire- 9 items; ADL= Activities of Daily Living; IADL= Instrumental Activities of Daily Living; NRS= Numeric Ration System; FACLS= Face, Legs, Activity, Cry, </w:t>
            </w: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Consolability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Scale; HDRS= Hamilton Depression Rating Scale-24 items; SF-12= Short Form-12 items; SDS= Sheehan Disability Scale; AOR= Adjusted odds ratio; CE=Coefficient estimate</w:t>
            </w:r>
          </w:p>
          <w:p w:rsidR="00521181" w:rsidRPr="00EB1BB7" w:rsidRDefault="00521181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gramEnd"/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Control represent baseline data for the intervention group and the intervention group represents outcomes at 12 months.</w:t>
            </w:r>
          </w:p>
          <w:p w:rsidR="00521181" w:rsidRPr="00EB1BB7" w:rsidRDefault="00521181" w:rsidP="00AF308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d</w:t>
            </w:r>
            <w:r w:rsidRPr="00EB1BB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Control represent patients in Switzerland and intervention group represents patients in the U.S. </w:t>
            </w:r>
          </w:p>
        </w:tc>
      </w:tr>
    </w:tbl>
    <w:p w:rsidR="00521181" w:rsidRDefault="00521181" w:rsidP="00521181">
      <w:pPr>
        <w:rPr>
          <w:rFonts w:ascii="Arial" w:hAnsi="Arial" w:cs="Arial"/>
        </w:rPr>
        <w:sectPr w:rsidR="00521181" w:rsidSect="00446C3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21181" w:rsidRPr="00D7065C" w:rsidRDefault="00521181" w:rsidP="00D7065C">
      <w:pPr>
        <w:pStyle w:val="Heading2"/>
        <w:rPr>
          <w:color w:val="auto"/>
        </w:rPr>
      </w:pPr>
      <w:r w:rsidRPr="00D7065C">
        <w:rPr>
          <w:rFonts w:eastAsia="Times New Roman"/>
          <w:color w:val="auto"/>
        </w:rPr>
        <w:lastRenderedPageBreak/>
        <w:t>Appendix Table A3: Highly Successful Health Care Utilization Outcomes for Programs Treating High Cost High Needs People (N=1</w:t>
      </w:r>
      <w:r w:rsidR="00B61D8D" w:rsidRPr="00D7065C">
        <w:rPr>
          <w:rFonts w:eastAsia="Times New Roman"/>
          <w:color w:val="auto"/>
        </w:rPr>
        <w:t>3</w:t>
      </w:r>
      <w:r w:rsidRPr="00D7065C">
        <w:rPr>
          <w:rFonts w:eastAsia="Times New Roman"/>
          <w:color w:val="auto"/>
        </w:rPr>
        <w:t>)</w:t>
      </w:r>
    </w:p>
    <w:tbl>
      <w:tblPr>
        <w:tblW w:w="12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671"/>
        <w:gridCol w:w="1035"/>
        <w:gridCol w:w="1496"/>
        <w:gridCol w:w="1335"/>
        <w:gridCol w:w="3308"/>
      </w:tblGrid>
      <w:tr w:rsidR="000F0FB5" w:rsidRPr="00F91E64" w:rsidTr="000F0FB5">
        <w:trPr>
          <w:trHeight w:val="300"/>
          <w:tblHeader/>
        </w:trPr>
        <w:tc>
          <w:tcPr>
            <w:tcW w:w="1980" w:type="dxa"/>
            <w:vMerge w:val="restart"/>
            <w:shd w:val="clear" w:color="auto" w:fill="auto"/>
            <w:noWrap/>
          </w:tcPr>
          <w:p w:rsidR="000F0FB5" w:rsidRPr="00F91E64" w:rsidRDefault="000F0FB5" w:rsidP="000F0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Study, Year</w:t>
            </w:r>
          </w:p>
        </w:tc>
        <w:tc>
          <w:tcPr>
            <w:tcW w:w="3671" w:type="dxa"/>
            <w:vMerge w:val="restart"/>
            <w:shd w:val="clear" w:color="auto" w:fill="auto"/>
            <w:noWrap/>
          </w:tcPr>
          <w:p w:rsidR="000F0FB5" w:rsidRPr="00F91E64" w:rsidRDefault="000F0FB5" w:rsidP="000F0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Health Care Utilization  Outcomes with High Success</w:t>
            </w:r>
          </w:p>
        </w:tc>
        <w:tc>
          <w:tcPr>
            <w:tcW w:w="2531" w:type="dxa"/>
            <w:gridSpan w:val="2"/>
            <w:shd w:val="clear" w:color="auto" w:fill="auto"/>
            <w:noWrap/>
          </w:tcPr>
          <w:p w:rsidR="000F0FB5" w:rsidRPr="00F91E64" w:rsidRDefault="000F0FB5" w:rsidP="000F0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Reported Outcome at End of Follow-Up</w:t>
            </w:r>
          </w:p>
        </w:tc>
        <w:tc>
          <w:tcPr>
            <w:tcW w:w="1335" w:type="dxa"/>
            <w:vMerge w:val="restart"/>
            <w:shd w:val="clear" w:color="auto" w:fill="auto"/>
            <w:noWrap/>
          </w:tcPr>
          <w:p w:rsidR="000F0FB5" w:rsidRPr="00F91E64" w:rsidRDefault="000F0FB5" w:rsidP="000F0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Statistical Measure of Effect</w:t>
            </w:r>
          </w:p>
        </w:tc>
        <w:tc>
          <w:tcPr>
            <w:tcW w:w="3308" w:type="dxa"/>
            <w:vMerge w:val="restart"/>
            <w:shd w:val="clear" w:color="auto" w:fill="auto"/>
            <w:noWrap/>
          </w:tcPr>
          <w:p w:rsidR="000F0FB5" w:rsidRPr="00F91E64" w:rsidRDefault="0082452A" w:rsidP="000F0FB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Test of Significance</w:t>
            </w:r>
          </w:p>
        </w:tc>
      </w:tr>
      <w:tr w:rsidR="000F0FB5" w:rsidRPr="00F91E64" w:rsidTr="00A47CDD">
        <w:trPr>
          <w:trHeight w:val="300"/>
          <w:tblHeader/>
        </w:trPr>
        <w:tc>
          <w:tcPr>
            <w:tcW w:w="1980" w:type="dxa"/>
            <w:vMerge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vMerge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035" w:type="dxa"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Control</w:t>
            </w: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Intervention Group</w:t>
            </w:r>
          </w:p>
        </w:tc>
        <w:tc>
          <w:tcPr>
            <w:tcW w:w="1335" w:type="dxa"/>
            <w:vMerge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vMerge/>
            <w:shd w:val="clear" w:color="auto" w:fill="auto"/>
            <w:noWrap/>
            <w:vAlign w:val="bottom"/>
            <w:hideMark/>
          </w:tcPr>
          <w:p w:rsidR="000F0FB5" w:rsidRPr="00F91E64" w:rsidRDefault="000F0FB5" w:rsidP="00446C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Barett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2010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 visits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all-cause hospitalization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&lt;.001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Boult, 2011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Home health care episodes (mean annual per capita use)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.99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 .70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(.53-.93)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Hospital admissions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.72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.70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 1.01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(.83-1.23)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30-Day readmissions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.17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.13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AOR=.79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(.53-1.16)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Hospital days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4.49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AOR=1.00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(.77-1.30)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Skilled nursing facility admissions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AOR=.92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(.60-1.40)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Skilled nursing facility days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2.84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AOR=.84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(.48-1.47)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Emergency department visits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.44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.44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AOR=1.04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(.81-1.34)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Primary Care visits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9.88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9.89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AOR=1.02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(.91-1.14)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Specialist visits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8.49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AOR=1.07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CI= (.93-1.23)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Casey, 2011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Overall cost to Medicaid(mean, $)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4703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3524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p=0.001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LOS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p=0.001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LOS per hospitalization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p=0.01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Comart</w:t>
            </w:r>
            <w:proofErr w:type="spellEnd"/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2013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Hospitalizations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-.08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p=.363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 visits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-.92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EB1BB7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B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Jonge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2014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Hospitalizations (% reduction)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 visits (% reduction)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Specialist visits (% reduction)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Generalist visits (% gain)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24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Medicare Costs ($)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50,978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44,455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p=0.1</w:t>
            </w:r>
          </w:p>
        </w:tc>
      </w:tr>
      <w:tr w:rsidR="00A47CDD" w:rsidRPr="00F91E64" w:rsidTr="00A47CDD">
        <w:trPr>
          <w:trHeight w:val="378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Edelman,2010</w:t>
            </w: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ED visit(mean visits/ </w:t>
            </w: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pt-yr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Primary care visits(mean </w:t>
            </w: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vistis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pt-yr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Edes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2014 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Medicare hospital days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4,511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4,161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Medicare skilled nursing facility days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5,559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5,594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p=.68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Total Medicare cost per patient, $ (6 months)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4,025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3,590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VA hospital days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8,877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4,339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Total VA costs per patient, $ (6 months)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19,234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13,822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 and Medicare hospital admissions per 100 patients-months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VA and Medicare hospital days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13,388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8,500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Kuo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2011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Need Help with care coordination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78.3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31.3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Child has a written care plan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52.9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84.9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Receive info about family support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45.7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55.3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p=.14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Receive info about current research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37.5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33.7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p=.52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Care team helps with understanding child’s emotional needs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54.8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49.4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p=.46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Care team shows concern about impact of health on family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62.7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62.7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 shows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tabs>
                <w:tab w:val="left" w:pos="1022"/>
                <w:tab w:val="left" w:pos="1112"/>
              </w:tabs>
              <w:ind w:righ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Moggi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2010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Remission (% yes)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14.1 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22.7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F=1.49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tabs>
                <w:tab w:val="left" w:pos="1022"/>
                <w:tab w:val="left" w:pos="1112"/>
              </w:tabs>
              <w:ind w:righ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Hospitalization (% yes) 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20.6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39.4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F=6.83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North,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Direct Cost Savings ($)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ED visits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tabs>
                <w:tab w:val="left" w:pos="1022"/>
                <w:tab w:val="left" w:pos="1112"/>
              </w:tabs>
              <w:ind w:righ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O'Toole,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All-cause hospitalization (mean admission/ person)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p=.02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Non-emergent ED visits</w:t>
            </w:r>
          </w:p>
        </w:tc>
        <w:tc>
          <w:tcPr>
            <w:tcW w:w="10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38.6</w:t>
            </w:r>
          </w:p>
        </w:tc>
        <w:tc>
          <w:tcPr>
            <w:tcW w:w="1496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tabs>
                <w:tab w:val="left" w:pos="1022"/>
                <w:tab w:val="left" w:pos="1112"/>
              </w:tabs>
              <w:ind w:right="31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02" w:type="dxa"/>
            <w:gridSpan w:val="3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 visits(summary score)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CE=0.521</w:t>
            </w:r>
          </w:p>
        </w:tc>
        <w:tc>
          <w:tcPr>
            <w:tcW w:w="3308" w:type="dxa"/>
            <w:shd w:val="clear" w:color="auto" w:fill="auto"/>
            <w:noWrap/>
            <w:hideMark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p&lt;.01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Ouslander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2009 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Preventable hospitalizations (% reduction)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NR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Takahashi, 2013</w:t>
            </w: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Inpatient hospitalization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p=0.17</w:t>
            </w:r>
          </w:p>
        </w:tc>
      </w:tr>
      <w:tr w:rsidR="00A47CDD" w:rsidRPr="00F91E64" w:rsidTr="00A47CDD">
        <w:trPr>
          <w:trHeight w:val="300"/>
        </w:trPr>
        <w:tc>
          <w:tcPr>
            <w:tcW w:w="1980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ER visits (%)</w:t>
            </w:r>
          </w:p>
        </w:tc>
        <w:tc>
          <w:tcPr>
            <w:tcW w:w="10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1496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335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08" w:type="dxa"/>
            <w:shd w:val="clear" w:color="auto" w:fill="auto"/>
            <w:noWrap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p=0.37</w:t>
            </w:r>
          </w:p>
        </w:tc>
      </w:tr>
      <w:tr w:rsidR="00A47CDD" w:rsidRPr="00F91E64" w:rsidTr="00A47CDD">
        <w:trPr>
          <w:trHeight w:val="300"/>
        </w:trPr>
        <w:tc>
          <w:tcPr>
            <w:tcW w:w="12825" w:type="dxa"/>
            <w:gridSpan w:val="6"/>
            <w:vAlign w:val="bottom"/>
          </w:tcPr>
          <w:p w:rsidR="00A47CDD" w:rsidRPr="00F91E64" w:rsidRDefault="00A47CDD" w:rsidP="00446C3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a</w:t>
            </w:r>
            <w:proofErr w:type="gramEnd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High success is defined as greater than 1 statistically significant patient satisfaction outcome.</w:t>
            </w:r>
          </w:p>
          <w:p w:rsidR="00D975AA" w:rsidRDefault="00A47CDD" w:rsidP="00D975AA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b</w:t>
            </w:r>
            <w:proofErr w:type="gramEnd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P-value compares mean absolute reduction across all groups.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c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low continuity intervention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d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moderate continuity intervention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e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high continuity intervention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f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compares low continuity to high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g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compares moderate continuity to high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h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No control group in this study. Values under “Control” represent baseline assessment and those under “Intervention” represent post-intervention follow-up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I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P-values compare overall pre post intervention assessment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I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compares intervention to  long term care facility</w:t>
            </w:r>
          </w:p>
          <w:p w:rsidR="00A47CDD" w:rsidRPr="00F91E64" w:rsidRDefault="00A47CDD" w:rsidP="00D975AA">
            <w:pPr>
              <w:ind w:left="7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CI= confidence interval; Pt= patient; </w:t>
            </w:r>
            <w:proofErr w:type="spellStart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Yr</w:t>
            </w:r>
            <w:proofErr w:type="spellEnd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= year; ED= emergency Department; LOS= Length of Stay; AOR= Adjusted odds ratio; </w:t>
            </w:r>
          </w:p>
          <w:p w:rsidR="00A47CDD" w:rsidRPr="00F91E64" w:rsidRDefault="00A47CDD" w:rsidP="00D975AA">
            <w:pPr>
              <w:ind w:left="6266" w:right="-2033" w:hanging="554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CE=Coefficient estimate</w:t>
            </w:r>
          </w:p>
          <w:p w:rsidR="00A47CDD" w:rsidRPr="00F91E64" w:rsidRDefault="00A47CDD" w:rsidP="00446C3A">
            <w:pPr>
              <w:ind w:left="5546" w:right="-2033" w:hanging="554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c</w:t>
            </w:r>
            <w:proofErr w:type="gramEnd"/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Control represent baseline data for the intervention group and the intervention group represents outcomes at 12 months.</w:t>
            </w:r>
          </w:p>
          <w:p w:rsidR="00A47CDD" w:rsidRPr="00F91E64" w:rsidRDefault="00A47CDD" w:rsidP="00446C3A">
            <w:pPr>
              <w:ind w:left="5546" w:right="-2033" w:hanging="5546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d</w:t>
            </w:r>
            <w:r w:rsidRPr="00F91E6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Control represent patients in Switzerland and intervention group represents patients in the U.S.</w:t>
            </w:r>
          </w:p>
        </w:tc>
      </w:tr>
    </w:tbl>
    <w:p w:rsidR="0013366B" w:rsidRPr="00521181" w:rsidRDefault="0013366B">
      <w:pPr>
        <w:rPr>
          <w:rFonts w:ascii="Times New Roman" w:hAnsi="Times New Roman"/>
        </w:rPr>
      </w:pPr>
    </w:p>
    <w:sectPr w:rsidR="0013366B" w:rsidRPr="00521181" w:rsidSect="00595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liard">
    <w:altName w:val="Galliar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13691"/>
    <w:multiLevelType w:val="hybridMultilevel"/>
    <w:tmpl w:val="0C2652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81"/>
    <w:rsid w:val="000D211F"/>
    <w:rsid w:val="000D6070"/>
    <w:rsid w:val="000F0FB5"/>
    <w:rsid w:val="0013366B"/>
    <w:rsid w:val="00186BE2"/>
    <w:rsid w:val="001A67F5"/>
    <w:rsid w:val="002B3E02"/>
    <w:rsid w:val="00446C3A"/>
    <w:rsid w:val="00476AC4"/>
    <w:rsid w:val="00521181"/>
    <w:rsid w:val="00595ED7"/>
    <w:rsid w:val="005A6984"/>
    <w:rsid w:val="006D1492"/>
    <w:rsid w:val="0082452A"/>
    <w:rsid w:val="00844F78"/>
    <w:rsid w:val="008B715D"/>
    <w:rsid w:val="009035C8"/>
    <w:rsid w:val="009B16EC"/>
    <w:rsid w:val="00A47CDD"/>
    <w:rsid w:val="00A65B22"/>
    <w:rsid w:val="00AF3081"/>
    <w:rsid w:val="00B141FA"/>
    <w:rsid w:val="00B61D8D"/>
    <w:rsid w:val="00C168BE"/>
    <w:rsid w:val="00C4247A"/>
    <w:rsid w:val="00CA5D13"/>
    <w:rsid w:val="00D7065C"/>
    <w:rsid w:val="00D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9AF14-3D35-4EA5-9904-B777720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18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1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1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118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118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2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181"/>
    <w:rPr>
      <w:rFonts w:ascii="Calibri" w:hAnsi="Calibri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181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1181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52118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2118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181"/>
    <w:rPr>
      <w:rFonts w:ascii="Calibri" w:hAnsi="Calibri" w:cs="Times New Roman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21181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211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2118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8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211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21181"/>
    <w:pPr>
      <w:autoSpaceDE w:val="0"/>
      <w:autoSpaceDN w:val="0"/>
      <w:adjustRightInd w:val="0"/>
      <w:spacing w:after="0" w:line="240" w:lineRule="auto"/>
    </w:pPr>
    <w:rPr>
      <w:rFonts w:ascii="Galliard" w:eastAsiaTheme="minorEastAsia" w:hAnsi="Galliard" w:cs="Galliar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1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1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1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81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521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181"/>
    <w:rPr>
      <w:rFonts w:ascii="Calibri" w:hAnsi="Calibri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118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1181"/>
    <w:rPr>
      <w:rFonts w:ascii="Consolas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521181"/>
    <w:pPr>
      <w:spacing w:after="0" w:line="240" w:lineRule="auto"/>
    </w:pPr>
    <w:rPr>
      <w:rFonts w:ascii="Calibri" w:hAnsi="Calibri" w:cs="Times New Roman"/>
    </w:rPr>
  </w:style>
  <w:style w:type="paragraph" w:customStyle="1" w:styleId="Title1">
    <w:name w:val="Title1"/>
    <w:basedOn w:val="Normal"/>
    <w:rsid w:val="00521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sc">
    <w:name w:val="desc"/>
    <w:basedOn w:val="Normal"/>
    <w:rsid w:val="00521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Normal"/>
    <w:rsid w:val="00521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jrnl">
    <w:name w:val="jrnl"/>
    <w:basedOn w:val="DefaultParagraphFont"/>
    <w:rsid w:val="00521181"/>
  </w:style>
  <w:style w:type="character" w:customStyle="1" w:styleId="apple-converted-space">
    <w:name w:val="apple-converted-space"/>
    <w:basedOn w:val="DefaultParagraphFont"/>
    <w:rsid w:val="00521181"/>
  </w:style>
  <w:style w:type="paragraph" w:customStyle="1" w:styleId="links">
    <w:name w:val="links"/>
    <w:basedOn w:val="Normal"/>
    <w:rsid w:val="0052118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21181"/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21181"/>
    <w:rPr>
      <w:rFonts w:ascii="Consolas" w:eastAsia="Times New Roman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Systematic Review of Programs Treating High-Need and High-Cost People With Multiple Chronic Diseases or Disabilities in the United States, 2008–2014</vt:lpstr>
    </vt:vector>
  </TitlesOfParts>
  <Company>Centers for Disease Control and Prevention</Company>
  <LinksUpToDate>false</LinksUpToDate>
  <CharactersWithSpaces>11092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Systematic Review of Programs Treating High-Need and High-Cost People With Multiple Chronic Diseases or Disabilities in the United States, 2008–2014</dc:title>
  <dc:subject>Multiple Chronic Diseases</dc:subject>
  <dc:creator>Sara N Bleich</dc:creator>
  <cp:keywords>Multiple Chronic Diseases</cp:keywords>
  <cp:lastModifiedBy>Bright, Kim L. (CDC/ONDIEH/NCCDPHP) (CTR)</cp:lastModifiedBy>
  <cp:revision>2</cp:revision>
  <cp:lastPrinted>2015-05-27T13:27:00Z</cp:lastPrinted>
  <dcterms:created xsi:type="dcterms:W3CDTF">2015-11-09T19:45:00Z</dcterms:created>
  <dcterms:modified xsi:type="dcterms:W3CDTF">2015-11-09T19:45:00Z</dcterms:modified>
</cp:coreProperties>
</file>